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יפעת שקדי שץ</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0C1987" w:rsidRDefault="00EE6E03">
                <w:pPr>
                  <w:rPr>
                    <w:rFonts w:ascii="Arial (W1)" w:hAnsi="Arial (W1)"/>
                    <w:b/>
                    <w:bCs/>
                    <w:noProof w:val="0"/>
                    <w:sz w:val="28"/>
                    <w:szCs w:val="28"/>
                  </w:rPr>
                </w:pPr>
                <w:r>
                  <w:rPr>
                    <w:rFonts w:hint="cs"/>
                    <w:b/>
                    <w:bCs/>
                    <w:noProof w:val="0"/>
                    <w:sz w:val="28"/>
                    <w:rtl/>
                  </w:rPr>
                  <w:t>תובע/נתבע</w:t>
                </w:r>
              </w:p>
            </w:sdtContent>
          </w:sdt>
        </w:tc>
        <w:tc>
          <w:tcPr>
            <w:tcW w:w="5571" w:type="dxa"/>
          </w:tcPr>
          <w:p w:rsidR="006816EC" w:rsidRDefault="006816EC">
            <w:pPr>
              <w:rPr>
                <w:rFonts w:ascii="Arial (W1)" w:hAnsi="Arial (W1)"/>
                <w:b/>
                <w:bCs/>
                <w:noProof w:val="0"/>
                <w:sz w:val="28"/>
                <w:szCs w:val="28"/>
                <w:rtl/>
              </w:rPr>
            </w:pPr>
          </w:p>
          <w:p w:rsidR="00500DCF" w:rsidRDefault="00D85C92" w:rsidP="00741F84">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741F84">
                  <w:rPr>
                    <w:rFonts w:hint="cs"/>
                    <w:b/>
                    <w:bCs/>
                    <w:noProof w:val="0"/>
                    <w:sz w:val="28"/>
                    <w:rtl/>
                  </w:rPr>
                  <w:t>מ'</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741F84">
              <w:rPr>
                <w:rFonts w:hint="cs"/>
                <w:b/>
                <w:bCs/>
                <w:noProof w:val="0"/>
                <w:sz w:val="28"/>
                <w:rtl/>
              </w:rPr>
              <w:t>----------</w:t>
            </w:r>
          </w:p>
          <w:p w:rsidR="006816EC" w:rsidRDefault="00E44DDF" w:rsidP="00500DCF">
            <w:pPr>
              <w:rPr>
                <w:rFonts w:ascii="Arial (W1)" w:hAnsi="Arial (W1)"/>
                <w:b/>
                <w:bCs/>
                <w:noProof w:val="0"/>
                <w:sz w:val="28"/>
                <w:szCs w:val="28"/>
              </w:rPr>
            </w:pPr>
            <w:r>
              <w:rPr>
                <w:rFonts w:ascii="Arial" w:hAnsi="Arial"/>
                <w:b/>
                <w:bCs/>
                <w:noProof w:val="0"/>
                <w:sz w:val="26"/>
                <w:szCs w:val="26"/>
                <w:rtl/>
              </w:rPr>
              <w:t>ע"י ב"כ עו"ד</w:t>
            </w:r>
            <w:r w:rsidR="00500DCF">
              <w:rPr>
                <w:rFonts w:ascii="Arial" w:hAnsi="Arial" w:hint="cs"/>
                <w:b/>
                <w:bCs/>
                <w:noProof w:val="0"/>
                <w:sz w:val="26"/>
                <w:szCs w:val="26"/>
                <w:rtl/>
              </w:rPr>
              <w:t xml:space="preserve"> איאד עיסא ואח'</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rsidP="004E43DC">
            <w:pPr>
              <w:jc w:val="center"/>
              <w:rPr>
                <w:rFonts w:ascii="Arial (W1)" w:hAnsi="Arial (W1)"/>
                <w:b/>
                <w:bCs/>
                <w:noProof w:val="0"/>
                <w:sz w:val="28"/>
                <w:szCs w:val="28"/>
              </w:rPr>
            </w:pPr>
            <w:r>
              <w:rPr>
                <w:rFonts w:hint="cs"/>
                <w:b/>
                <w:bCs/>
                <w:noProof w:val="0"/>
                <w:sz w:val="28"/>
                <w:rtl/>
              </w:rPr>
              <w:t>נגד</w:t>
            </w: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D85C92">
            <w:pPr>
              <w:rPr>
                <w:rFonts w:ascii="Arial (W1)" w:hAnsi="Arial (W1)"/>
                <w:b/>
                <w:bCs/>
                <w:noProof w:val="0"/>
                <w:sz w:val="28"/>
                <w:szCs w:val="28"/>
              </w:rPr>
            </w:pPr>
            <w:sdt>
              <w:sdtPr>
                <w:rPr>
                  <w:rFonts w:hint="cs"/>
                  <w:b/>
                  <w:bCs/>
                  <w:rtl/>
                </w:rPr>
                <w:alias w:val="1184"/>
                <w:tag w:val="1184"/>
                <w:id w:val="-910234160"/>
                <w:text w:multiLine="1"/>
              </w:sdtPr>
              <w:sdtEndPr/>
              <w:sdtContent>
                <w:r w:rsidR="00500DCF" w:rsidRPr="00500DCF">
                  <w:rPr>
                    <w:rFonts w:hint="cs"/>
                    <w:b/>
                    <w:bCs/>
                    <w:noProof w:val="0"/>
                    <w:sz w:val="28"/>
                    <w:rtl/>
                  </w:rPr>
                  <w:t xml:space="preserve">נתבעת/תובעת </w:t>
                </w:r>
                <w:r w:rsidR="00500DCF" w:rsidRPr="00500DCF">
                  <w:rPr>
                    <w:b/>
                    <w:bCs/>
                    <w:rtl/>
                  </w:rPr>
                  <w:br/>
                </w:r>
                <w:r w:rsidR="00500DCF" w:rsidRPr="00500DCF">
                  <w:rPr>
                    <w:b/>
                    <w:bCs/>
                    <w:rtl/>
                  </w:rPr>
                  <w:br/>
                </w:r>
                <w:r w:rsidR="00500DCF" w:rsidRPr="00500DCF">
                  <w:rPr>
                    <w:b/>
                    <w:bCs/>
                    <w:rtl/>
                  </w:rPr>
                  <w:br/>
                </w:r>
                <w:r w:rsidR="00500DCF" w:rsidRPr="00500DCF">
                  <w:rPr>
                    <w:rFonts w:hint="cs"/>
                    <w:b/>
                    <w:bCs/>
                    <w:rtl/>
                  </w:rPr>
                  <w:t>נתבע</w:t>
                </w:r>
              </w:sdtContent>
            </w:sdt>
          </w:p>
        </w:tc>
        <w:tc>
          <w:tcPr>
            <w:tcW w:w="5571" w:type="dxa"/>
          </w:tcPr>
          <w:p w:rsidR="006816EC" w:rsidRDefault="006816EC">
            <w:pPr>
              <w:rPr>
                <w:rFonts w:ascii="Arial (W1)" w:hAnsi="Arial (W1)"/>
                <w:b/>
                <w:bCs/>
                <w:noProof w:val="0"/>
                <w:sz w:val="28"/>
                <w:szCs w:val="28"/>
                <w:rtl/>
              </w:rPr>
            </w:pPr>
          </w:p>
          <w:p w:rsidR="00500DCF" w:rsidRDefault="00D85C92" w:rsidP="00741F84">
            <w:pPr>
              <w:rPr>
                <w:rFonts w:ascii="Arial" w:hAnsi="Arial"/>
                <w:b/>
                <w:bCs/>
                <w:noProof w:val="0"/>
                <w:sz w:val="26"/>
                <w:szCs w:val="26"/>
                <w:rtl/>
              </w:rPr>
            </w:pPr>
            <w:sdt>
              <w:sdtPr>
                <w:rPr>
                  <w:rFonts w:hint="cs"/>
                  <w:b/>
                  <w:bCs/>
                  <w:noProof w:val="0"/>
                  <w:sz w:val="28"/>
                  <w:rtl/>
                </w:rPr>
                <w:alias w:val="1486"/>
                <w:tag w:val="1486"/>
                <w:id w:val="1487590763"/>
                <w:text w:multiLine="1"/>
              </w:sdtPr>
              <w:sdtEndPr/>
              <w:sdtContent>
                <w:r w:rsidR="00741F84">
                  <w:rPr>
                    <w:rFonts w:hint="cs"/>
                    <w:b/>
                    <w:bCs/>
                    <w:noProof w:val="0"/>
                    <w:sz w:val="28"/>
                    <w:rtl/>
                  </w:rPr>
                  <w:t xml:space="preserve">ע' </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741F84">
              <w:rPr>
                <w:rFonts w:hint="cs"/>
                <w:b/>
                <w:bCs/>
                <w:noProof w:val="0"/>
                <w:sz w:val="28"/>
                <w:rtl/>
              </w:rPr>
              <w:t>--------</w:t>
            </w:r>
            <w:r w:rsidR="00E44DDF">
              <w:rPr>
                <w:rFonts w:hint="cs"/>
                <w:rtl/>
              </w:rPr>
              <w:t xml:space="preserve"> </w:t>
            </w:r>
          </w:p>
          <w:p w:rsidR="006816EC" w:rsidRDefault="00E44DDF" w:rsidP="00500DCF">
            <w:pPr>
              <w:rPr>
                <w:rFonts w:ascii="Arial (W1)" w:hAnsi="Arial (W1)"/>
                <w:b/>
                <w:bCs/>
                <w:noProof w:val="0"/>
                <w:sz w:val="28"/>
                <w:szCs w:val="28"/>
                <w:rtl/>
              </w:rPr>
            </w:pPr>
            <w:r>
              <w:rPr>
                <w:rFonts w:ascii="Arial" w:hAnsi="Arial"/>
                <w:b/>
                <w:bCs/>
                <w:noProof w:val="0"/>
                <w:sz w:val="26"/>
                <w:szCs w:val="26"/>
                <w:rtl/>
              </w:rPr>
              <w:t>ע"י ב"כ עו"ד</w:t>
            </w:r>
            <w:r w:rsidR="00500DCF">
              <w:rPr>
                <w:rFonts w:ascii="Arial" w:hAnsi="Arial" w:hint="cs"/>
                <w:b/>
                <w:bCs/>
                <w:noProof w:val="0"/>
                <w:sz w:val="26"/>
                <w:szCs w:val="26"/>
                <w:rtl/>
              </w:rPr>
              <w:t xml:space="preserve"> דורית ענבר סברדליק</w:t>
            </w:r>
          </w:p>
          <w:p w:rsidR="00500DCF" w:rsidRDefault="00500DCF" w:rsidP="00500DCF">
            <w:pPr>
              <w:rPr>
                <w:rFonts w:ascii="Arial (W1)" w:hAnsi="Arial (W1)"/>
                <w:b/>
                <w:bCs/>
                <w:noProof w:val="0"/>
                <w:sz w:val="28"/>
                <w:szCs w:val="28"/>
                <w:rtl/>
              </w:rPr>
            </w:pPr>
          </w:p>
          <w:p w:rsidR="00500DCF" w:rsidRPr="00500DCF" w:rsidRDefault="00741F84" w:rsidP="00741F84">
            <w:pPr>
              <w:rPr>
                <w:rFonts w:ascii="Arial" w:hAnsi="Arial"/>
                <w:b/>
                <w:bCs/>
                <w:noProof w:val="0"/>
                <w:sz w:val="26"/>
                <w:szCs w:val="26"/>
                <w:rtl/>
              </w:rPr>
            </w:pPr>
            <w:r>
              <w:rPr>
                <w:rFonts w:ascii="Arial" w:hAnsi="Arial" w:hint="cs"/>
                <w:b/>
                <w:bCs/>
                <w:noProof w:val="0"/>
                <w:sz w:val="26"/>
                <w:szCs w:val="26"/>
                <w:rtl/>
              </w:rPr>
              <w:t>א'</w:t>
            </w:r>
            <w:r w:rsidR="00500DCF" w:rsidRPr="00500DCF">
              <w:rPr>
                <w:rFonts w:ascii="Arial" w:hAnsi="Arial" w:hint="cs"/>
                <w:b/>
                <w:bCs/>
                <w:noProof w:val="0"/>
                <w:sz w:val="26"/>
                <w:szCs w:val="26"/>
                <w:rtl/>
              </w:rPr>
              <w:t xml:space="preserve"> ת"ז </w:t>
            </w:r>
            <w:r>
              <w:rPr>
                <w:rFonts w:ascii="Arial" w:hAnsi="Arial" w:hint="cs"/>
                <w:b/>
                <w:bCs/>
                <w:noProof w:val="0"/>
                <w:sz w:val="26"/>
                <w:szCs w:val="26"/>
                <w:rtl/>
              </w:rPr>
              <w:t>-------</w:t>
            </w:r>
          </w:p>
          <w:p w:rsidR="00500DCF" w:rsidRDefault="00500DCF" w:rsidP="00500DCF">
            <w:pPr>
              <w:rPr>
                <w:rFonts w:ascii="Arial (W1)" w:hAnsi="Arial (W1)"/>
                <w:b/>
                <w:bCs/>
                <w:noProof w:val="0"/>
                <w:sz w:val="28"/>
                <w:szCs w:val="28"/>
              </w:rPr>
            </w:pPr>
            <w:r w:rsidRPr="00500DCF">
              <w:rPr>
                <w:rFonts w:ascii="Arial" w:hAnsi="Arial" w:hint="cs"/>
                <w:b/>
                <w:bCs/>
                <w:noProof w:val="0"/>
                <w:sz w:val="26"/>
                <w:szCs w:val="26"/>
                <w:rtl/>
              </w:rPr>
              <w:t>ע"י ב"כ עו"ד עבד אלרחמן מח'זומי ואח'</w:t>
            </w:r>
            <w:r>
              <w:rPr>
                <w:rFonts w:ascii="Arial (W1)" w:hAnsi="Arial (W1)" w:hint="cs"/>
                <w:b/>
                <w:bCs/>
                <w:noProof w:val="0"/>
                <w:sz w:val="28"/>
                <w:szCs w:val="28"/>
                <w:rtl/>
              </w:rPr>
              <w:t xml:space="preserve"> </w:t>
            </w:r>
          </w:p>
        </w:tc>
      </w:tr>
    </w:tbl>
    <w:p w:rsidR="006816EC" w:rsidRPr="00500DCF" w:rsidRDefault="006816EC" w:rsidP="003823DA">
      <w:pPr>
        <w:suppressLineNumbers/>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rsidP="004E43DC">
            <w:pPr>
              <w:bidi w:val="0"/>
              <w:spacing w:after="12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4E43DC" w:rsidP="00EE6E03">
      <w:pPr>
        <w:spacing w:after="120" w:line="360" w:lineRule="auto"/>
        <w:jc w:val="both"/>
        <w:rPr>
          <w:rFonts w:ascii="Arial" w:hAnsi="Arial"/>
          <w:noProof w:val="0"/>
          <w:rtl/>
        </w:rPr>
      </w:pPr>
      <w:r>
        <w:rPr>
          <w:rFonts w:ascii="Arial" w:hAnsi="Arial" w:hint="cs"/>
          <w:noProof w:val="0"/>
          <w:rtl/>
        </w:rPr>
        <w:t>פסק דין זה מכריע במחלוקות הצדדים בארבעה הליכים:</w:t>
      </w:r>
    </w:p>
    <w:p w:rsidR="004E43DC" w:rsidRDefault="004E43DC" w:rsidP="00741F84">
      <w:pPr>
        <w:spacing w:after="120" w:line="360" w:lineRule="auto"/>
        <w:jc w:val="both"/>
        <w:rPr>
          <w:rtl/>
        </w:rPr>
      </w:pPr>
      <w:r>
        <w:rPr>
          <w:rFonts w:ascii="Arial" w:hAnsi="Arial" w:hint="cs"/>
          <w:noProof w:val="0"/>
          <w:rtl/>
        </w:rPr>
        <w:t>תמ"ש 53041-12-20, תביעה לפינוי מושכר (</w:t>
      </w:r>
      <w:r>
        <w:rPr>
          <w:rFonts w:ascii="Arial" w:hAnsi="Arial" w:hint="cs"/>
          <w:b/>
          <w:bCs/>
          <w:noProof w:val="0"/>
          <w:rtl/>
        </w:rPr>
        <w:t>"התביעה לפינוי מושכר"</w:t>
      </w:r>
      <w:r>
        <w:rPr>
          <w:rFonts w:ascii="Arial" w:hAnsi="Arial" w:hint="cs"/>
          <w:noProof w:val="0"/>
          <w:rtl/>
        </w:rPr>
        <w:t xml:space="preserve">) שהגיש מר </w:t>
      </w:r>
      <w:r w:rsidR="00741F84">
        <w:rPr>
          <w:rFonts w:ascii="Arial" w:hAnsi="Arial" w:hint="cs"/>
          <w:noProof w:val="0"/>
          <w:rtl/>
        </w:rPr>
        <w:t>מ'</w:t>
      </w:r>
      <w:r>
        <w:rPr>
          <w:rFonts w:ascii="Arial" w:hAnsi="Arial" w:hint="cs"/>
          <w:noProof w:val="0"/>
          <w:rtl/>
        </w:rPr>
        <w:t xml:space="preserve"> (</w:t>
      </w:r>
      <w:r>
        <w:rPr>
          <w:rFonts w:ascii="Arial" w:hAnsi="Arial" w:hint="cs"/>
          <w:b/>
          <w:bCs/>
          <w:noProof w:val="0"/>
          <w:rtl/>
        </w:rPr>
        <w:t>"מ</w:t>
      </w:r>
      <w:r w:rsidR="00741F84">
        <w:rPr>
          <w:rFonts w:ascii="Arial" w:hAnsi="Arial" w:hint="cs"/>
          <w:b/>
          <w:bCs/>
          <w:noProof w:val="0"/>
          <w:rtl/>
        </w:rPr>
        <w:t>'</w:t>
      </w:r>
      <w:r>
        <w:rPr>
          <w:rFonts w:ascii="Arial" w:hAnsi="Arial" w:hint="cs"/>
          <w:b/>
          <w:bCs/>
          <w:noProof w:val="0"/>
          <w:rtl/>
        </w:rPr>
        <w:t xml:space="preserve">" </w:t>
      </w:r>
      <w:r>
        <w:rPr>
          <w:rFonts w:ascii="Arial" w:hAnsi="Arial" w:hint="cs"/>
          <w:noProof w:val="0"/>
          <w:rtl/>
        </w:rPr>
        <w:t xml:space="preserve">או </w:t>
      </w:r>
      <w:r>
        <w:rPr>
          <w:rFonts w:ascii="Arial" w:hAnsi="Arial" w:hint="cs"/>
          <w:b/>
          <w:bCs/>
          <w:noProof w:val="0"/>
          <w:rtl/>
        </w:rPr>
        <w:t>"האב"</w:t>
      </w:r>
      <w:r>
        <w:rPr>
          <w:rFonts w:ascii="Arial" w:hAnsi="Arial" w:hint="cs"/>
          <w:noProof w:val="0"/>
          <w:rtl/>
        </w:rPr>
        <w:t xml:space="preserve">) נגד </w:t>
      </w:r>
      <w:r w:rsidR="00741F84">
        <w:rPr>
          <w:rFonts w:ascii="Arial" w:hAnsi="Arial" w:hint="cs"/>
          <w:noProof w:val="0"/>
          <w:rtl/>
        </w:rPr>
        <w:t xml:space="preserve">ע' </w:t>
      </w:r>
      <w:r>
        <w:rPr>
          <w:rFonts w:ascii="Arial" w:hAnsi="Arial" w:hint="cs"/>
          <w:noProof w:val="0"/>
          <w:rtl/>
        </w:rPr>
        <w:t xml:space="preserve"> (</w:t>
      </w:r>
      <w:r>
        <w:rPr>
          <w:rFonts w:ascii="Arial" w:hAnsi="Arial" w:hint="cs"/>
          <w:b/>
          <w:bCs/>
          <w:noProof w:val="0"/>
          <w:rtl/>
        </w:rPr>
        <w:t>"</w:t>
      </w:r>
      <w:r w:rsidR="00741F84">
        <w:rPr>
          <w:rFonts w:ascii="Arial" w:hAnsi="Arial" w:hint="cs"/>
          <w:b/>
          <w:bCs/>
          <w:noProof w:val="0"/>
          <w:rtl/>
        </w:rPr>
        <w:t>ע'</w:t>
      </w:r>
      <w:r>
        <w:rPr>
          <w:rFonts w:ascii="Arial" w:hAnsi="Arial" w:hint="cs"/>
          <w:b/>
          <w:bCs/>
          <w:noProof w:val="0"/>
          <w:rtl/>
        </w:rPr>
        <w:t>"</w:t>
      </w:r>
      <w:r>
        <w:rPr>
          <w:rFonts w:hint="cs"/>
          <w:rtl/>
        </w:rPr>
        <w:t xml:space="preserve"> או "</w:t>
      </w:r>
      <w:r>
        <w:rPr>
          <w:rFonts w:hint="cs"/>
          <w:b/>
          <w:bCs/>
          <w:rtl/>
        </w:rPr>
        <w:t>האישה"</w:t>
      </w:r>
      <w:r>
        <w:rPr>
          <w:rFonts w:hint="cs"/>
          <w:rtl/>
        </w:rPr>
        <w:t>) במסגרתה טען האב, כי יש לפנות את האישה מנכס מקרקעין המצוי ב</w:t>
      </w:r>
      <w:r w:rsidR="00741F84">
        <w:rPr>
          <w:rFonts w:hint="cs"/>
          <w:rtl/>
        </w:rPr>
        <w:t>-----------</w:t>
      </w:r>
      <w:r>
        <w:rPr>
          <w:rFonts w:hint="cs"/>
          <w:rtl/>
        </w:rPr>
        <w:t>ואשר הינו בבעלותו המלאה (</w:t>
      </w:r>
      <w:r>
        <w:rPr>
          <w:rFonts w:hint="cs"/>
          <w:b/>
          <w:bCs/>
          <w:rtl/>
        </w:rPr>
        <w:t>"הנכס"</w:t>
      </w:r>
      <w:r w:rsidR="00BC2F89">
        <w:rPr>
          <w:rFonts w:hint="cs"/>
          <w:b/>
          <w:bCs/>
          <w:rtl/>
        </w:rPr>
        <w:t xml:space="preserve">, </w:t>
      </w:r>
      <w:r w:rsidR="00BC2F89">
        <w:rPr>
          <w:rFonts w:hint="cs"/>
          <w:rtl/>
        </w:rPr>
        <w:t>"</w:t>
      </w:r>
      <w:r w:rsidR="00BC2F89">
        <w:rPr>
          <w:rFonts w:hint="cs"/>
          <w:b/>
          <w:bCs/>
          <w:rtl/>
        </w:rPr>
        <w:t>נכס המקרקעין"</w:t>
      </w:r>
      <w:r>
        <w:rPr>
          <w:rFonts w:hint="cs"/>
          <w:b/>
          <w:bCs/>
          <w:rtl/>
        </w:rPr>
        <w:t xml:space="preserve"> </w:t>
      </w:r>
      <w:r>
        <w:rPr>
          <w:rFonts w:hint="cs"/>
          <w:rtl/>
        </w:rPr>
        <w:t xml:space="preserve">או </w:t>
      </w:r>
      <w:r>
        <w:rPr>
          <w:rFonts w:hint="cs"/>
          <w:b/>
          <w:bCs/>
          <w:rtl/>
        </w:rPr>
        <w:t>"הבית"</w:t>
      </w:r>
      <w:r>
        <w:rPr>
          <w:rFonts w:hint="cs"/>
          <w:rtl/>
        </w:rPr>
        <w:t xml:space="preserve">). </w:t>
      </w:r>
    </w:p>
    <w:p w:rsidR="00507ED5" w:rsidRDefault="00507ED5" w:rsidP="00741F84">
      <w:pPr>
        <w:spacing w:after="120" w:line="360" w:lineRule="auto"/>
        <w:jc w:val="both"/>
        <w:rPr>
          <w:rtl/>
        </w:rPr>
      </w:pPr>
      <w:r>
        <w:rPr>
          <w:rFonts w:hint="cs"/>
          <w:rtl/>
        </w:rPr>
        <w:t>תמ"ש 35490-01-21, תביעה רכושית (</w:t>
      </w:r>
      <w:r>
        <w:rPr>
          <w:rFonts w:hint="cs"/>
          <w:b/>
          <w:bCs/>
          <w:rtl/>
        </w:rPr>
        <w:t>"התביעה הרכושית שהגישה האישה"</w:t>
      </w:r>
      <w:r>
        <w:rPr>
          <w:rFonts w:hint="cs"/>
          <w:rtl/>
        </w:rPr>
        <w:t xml:space="preserve">) שהגישה האישה נגד </w:t>
      </w:r>
      <w:r w:rsidR="009B352D">
        <w:rPr>
          <w:rFonts w:hint="cs"/>
          <w:rtl/>
        </w:rPr>
        <w:t xml:space="preserve">בעלה לשעבר, </w:t>
      </w:r>
      <w:r w:rsidR="00741F84">
        <w:rPr>
          <w:rFonts w:hint="cs"/>
          <w:rtl/>
        </w:rPr>
        <w:t xml:space="preserve">א' </w:t>
      </w:r>
      <w:r>
        <w:rPr>
          <w:rFonts w:hint="cs"/>
          <w:rtl/>
        </w:rPr>
        <w:t xml:space="preserve"> (</w:t>
      </w:r>
      <w:r>
        <w:rPr>
          <w:rFonts w:hint="cs"/>
          <w:b/>
          <w:bCs/>
          <w:rtl/>
        </w:rPr>
        <w:t xml:space="preserve">"הבן" </w:t>
      </w:r>
      <w:r>
        <w:rPr>
          <w:rFonts w:hint="cs"/>
          <w:rtl/>
        </w:rPr>
        <w:t xml:space="preserve">או </w:t>
      </w:r>
      <w:r>
        <w:rPr>
          <w:rFonts w:hint="cs"/>
          <w:b/>
          <w:bCs/>
          <w:rtl/>
        </w:rPr>
        <w:t>"א</w:t>
      </w:r>
      <w:r w:rsidR="00741F84">
        <w:rPr>
          <w:rFonts w:hint="cs"/>
          <w:b/>
          <w:bCs/>
          <w:rtl/>
        </w:rPr>
        <w:t>'</w:t>
      </w:r>
      <w:r>
        <w:rPr>
          <w:rFonts w:hint="cs"/>
          <w:b/>
          <w:bCs/>
          <w:rtl/>
        </w:rPr>
        <w:t>"</w:t>
      </w:r>
      <w:r>
        <w:rPr>
          <w:rFonts w:hint="cs"/>
          <w:rtl/>
        </w:rPr>
        <w:t xml:space="preserve"> או </w:t>
      </w:r>
      <w:r>
        <w:rPr>
          <w:rFonts w:hint="cs"/>
          <w:b/>
          <w:bCs/>
          <w:rtl/>
        </w:rPr>
        <w:t>"האיש"</w:t>
      </w:r>
      <w:r>
        <w:rPr>
          <w:rFonts w:hint="cs"/>
          <w:rtl/>
        </w:rPr>
        <w:t>) במסגרתה ביקשה האישה כי יוצהר על בעלותה במחצית הזכויות בנכס וכן במחצית כל רכוש אחר שנצברו על ידי הנתבעים מבלי להידרש לאופן רישום הזכויות</w:t>
      </w:r>
      <w:r w:rsidR="009B352D">
        <w:rPr>
          <w:rFonts w:hint="cs"/>
          <w:rtl/>
        </w:rPr>
        <w:t xml:space="preserve"> (לכתחילה הוגשה התביעה נגד האיש והאב וכללה סעדים שונים ולאחר שניתנה החלטה בענין, תוקנה התביעה והוגשה נגד האיש ותוך חידוד הסעדים המבוקשים במישור היחסים מולו)</w:t>
      </w:r>
      <w:r>
        <w:rPr>
          <w:rFonts w:hint="cs"/>
          <w:rtl/>
        </w:rPr>
        <w:t xml:space="preserve">. </w:t>
      </w:r>
    </w:p>
    <w:p w:rsidR="00823768" w:rsidRDefault="00B46F35" w:rsidP="00C54B5E">
      <w:pPr>
        <w:spacing w:after="120" w:line="360" w:lineRule="auto"/>
        <w:jc w:val="both"/>
        <w:rPr>
          <w:rtl/>
        </w:rPr>
      </w:pPr>
      <w:r>
        <w:rPr>
          <w:rFonts w:hint="cs"/>
          <w:rtl/>
        </w:rPr>
        <w:t>תמ"ש 51657-07-21, תביעה למתן סעד הצהרתי (</w:t>
      </w:r>
      <w:r>
        <w:rPr>
          <w:rFonts w:hint="cs"/>
          <w:b/>
          <w:bCs/>
          <w:rtl/>
        </w:rPr>
        <w:t xml:space="preserve">"התביעה </w:t>
      </w:r>
      <w:r w:rsidR="00C54B5E">
        <w:rPr>
          <w:rFonts w:hint="cs"/>
          <w:b/>
          <w:bCs/>
          <w:rtl/>
        </w:rPr>
        <w:t>לסעד הצהרתי</w:t>
      </w:r>
      <w:r>
        <w:rPr>
          <w:rFonts w:hint="cs"/>
          <w:b/>
          <w:bCs/>
          <w:rtl/>
        </w:rPr>
        <w:t xml:space="preserve"> שהגישה האישה"</w:t>
      </w:r>
      <w:r>
        <w:rPr>
          <w:rFonts w:hint="cs"/>
          <w:rtl/>
        </w:rPr>
        <w:t>) שהגישה האישה נגד האב במסגרתה התבקש בית המשפט להצהיר על זכותה של האישה בכל רכוש של בני הזוג ובכלל כך בנכס</w:t>
      </w:r>
      <w:r w:rsidR="00823768">
        <w:rPr>
          <w:rFonts w:hint="cs"/>
          <w:rtl/>
        </w:rPr>
        <w:t>.</w:t>
      </w:r>
    </w:p>
    <w:p w:rsidR="00EE6E03" w:rsidRDefault="00EE6E03" w:rsidP="00EE6E03">
      <w:pPr>
        <w:spacing w:after="120" w:line="360" w:lineRule="auto"/>
        <w:jc w:val="both"/>
        <w:rPr>
          <w:rtl/>
        </w:rPr>
      </w:pPr>
      <w:r>
        <w:rPr>
          <w:rFonts w:hint="cs"/>
          <w:rtl/>
        </w:rPr>
        <w:t xml:space="preserve">תמ"ש 54167-03-22, תביעה כספית על סך 65,000 </w:t>
      </w:r>
      <w:r w:rsidR="00C54B5E">
        <w:rPr>
          <w:rFonts w:hint="cs"/>
          <w:rtl/>
        </w:rPr>
        <w:t>ש</w:t>
      </w:r>
      <w:r w:rsidR="00C54B5E">
        <w:rPr>
          <w:rtl/>
        </w:rPr>
        <w:t>"</w:t>
      </w:r>
      <w:r w:rsidR="00C54B5E">
        <w:rPr>
          <w:rFonts w:hint="cs"/>
          <w:rtl/>
        </w:rPr>
        <w:t>ח</w:t>
      </w:r>
      <w:r>
        <w:rPr>
          <w:rFonts w:hint="cs"/>
          <w:rtl/>
        </w:rPr>
        <w:t xml:space="preserve"> (</w:t>
      </w:r>
      <w:r>
        <w:rPr>
          <w:rFonts w:hint="cs"/>
          <w:b/>
          <w:bCs/>
          <w:rtl/>
        </w:rPr>
        <w:t>"התביעה הכספית"</w:t>
      </w:r>
      <w:r>
        <w:rPr>
          <w:rFonts w:hint="cs"/>
          <w:rtl/>
        </w:rPr>
        <w:t xml:space="preserve">) שהגיש האב נגד האישה בגין דמי השכירות לתקופת השימוש בנכס שמאוחרת למועד בו ביקש האב את פינויו. </w:t>
      </w:r>
    </w:p>
    <w:p w:rsidR="00CB7353" w:rsidRDefault="00CB7353" w:rsidP="00CB7353">
      <w:pPr>
        <w:spacing w:after="120" w:line="360" w:lineRule="auto"/>
        <w:jc w:val="both"/>
        <w:rPr>
          <w:rtl/>
        </w:rPr>
      </w:pPr>
      <w:r>
        <w:rPr>
          <w:rFonts w:hint="cs"/>
          <w:rtl/>
        </w:rPr>
        <w:t xml:space="preserve">על אף סדר הגשת התביעות, הדיון במסגרת פסק הדין יחל בבבירור שאלת זכויותיה של האישה בנכס </w:t>
      </w:r>
      <w:r w:rsidR="00B5113C">
        <w:rPr>
          <w:rFonts w:hint="cs"/>
          <w:rtl/>
        </w:rPr>
        <w:t xml:space="preserve">המקרקעין </w:t>
      </w:r>
      <w:r>
        <w:rPr>
          <w:rFonts w:hint="cs"/>
          <w:rtl/>
        </w:rPr>
        <w:t xml:space="preserve">שכן הדבר ישליך על סוגיית הפינוי והחיוב בדמי שימוש. </w:t>
      </w:r>
    </w:p>
    <w:p w:rsidR="008A0240" w:rsidRDefault="002D5CE4" w:rsidP="00C54B5E">
      <w:pPr>
        <w:pStyle w:val="ae"/>
        <w:numPr>
          <w:ilvl w:val="0"/>
          <w:numId w:val="1"/>
        </w:numPr>
        <w:spacing w:after="120" w:line="360" w:lineRule="auto"/>
        <w:ind w:left="567" w:hanging="567"/>
        <w:jc w:val="both"/>
        <w:rPr>
          <w:b/>
          <w:bCs/>
          <w:sz w:val="26"/>
          <w:szCs w:val="26"/>
          <w:u w:val="single"/>
        </w:rPr>
      </w:pPr>
      <w:r>
        <w:rPr>
          <w:rFonts w:hint="cs"/>
          <w:b/>
          <w:bCs/>
          <w:sz w:val="26"/>
          <w:szCs w:val="26"/>
          <w:u w:val="single"/>
          <w:rtl/>
        </w:rPr>
        <w:lastRenderedPageBreak/>
        <w:t xml:space="preserve">התביעה הרכושית שהגישה האישה </w:t>
      </w:r>
      <w:r w:rsidR="002A6D35">
        <w:rPr>
          <w:rFonts w:hint="cs"/>
          <w:b/>
          <w:bCs/>
          <w:sz w:val="26"/>
          <w:szCs w:val="26"/>
          <w:u w:val="single"/>
          <w:rtl/>
        </w:rPr>
        <w:t xml:space="preserve">נגד האיש </w:t>
      </w:r>
      <w:r w:rsidR="00EB67FB">
        <w:rPr>
          <w:rFonts w:hint="cs"/>
          <w:b/>
          <w:bCs/>
          <w:sz w:val="26"/>
          <w:szCs w:val="26"/>
          <w:u w:val="single"/>
          <w:rtl/>
        </w:rPr>
        <w:t>-</w:t>
      </w:r>
      <w:r>
        <w:rPr>
          <w:rFonts w:hint="cs"/>
          <w:b/>
          <w:bCs/>
          <w:sz w:val="26"/>
          <w:szCs w:val="26"/>
          <w:u w:val="single"/>
          <w:rtl/>
        </w:rPr>
        <w:t xml:space="preserve"> תביעה בענין </w:t>
      </w:r>
      <w:r w:rsidR="002A6D35">
        <w:rPr>
          <w:rFonts w:hint="cs"/>
          <w:b/>
          <w:bCs/>
          <w:sz w:val="26"/>
          <w:szCs w:val="26"/>
          <w:u w:val="single"/>
          <w:rtl/>
        </w:rPr>
        <w:t>הזכויות ב</w:t>
      </w:r>
      <w:r>
        <w:rPr>
          <w:rFonts w:hint="cs"/>
          <w:b/>
          <w:bCs/>
          <w:sz w:val="26"/>
          <w:szCs w:val="26"/>
          <w:u w:val="single"/>
          <w:rtl/>
        </w:rPr>
        <w:t xml:space="preserve">נכס המקרקעין וזכויות נוספות שנצברו במהלך </w:t>
      </w:r>
      <w:r w:rsidR="00EB67FB">
        <w:rPr>
          <w:rFonts w:hint="cs"/>
          <w:b/>
          <w:bCs/>
          <w:sz w:val="26"/>
          <w:szCs w:val="26"/>
          <w:u w:val="single"/>
          <w:rtl/>
        </w:rPr>
        <w:t>תקופת החיים המשותפים</w:t>
      </w:r>
      <w:r w:rsidR="002A6D35">
        <w:rPr>
          <w:rFonts w:hint="cs"/>
          <w:b/>
          <w:bCs/>
          <w:sz w:val="26"/>
          <w:szCs w:val="26"/>
          <w:u w:val="single"/>
          <w:rtl/>
        </w:rPr>
        <w:t xml:space="preserve"> ו</w:t>
      </w:r>
      <w:r w:rsidR="00B5113C">
        <w:rPr>
          <w:rFonts w:hint="cs"/>
          <w:b/>
          <w:bCs/>
          <w:sz w:val="26"/>
          <w:szCs w:val="26"/>
          <w:u w:val="single"/>
          <w:rtl/>
        </w:rPr>
        <w:t xml:space="preserve">כן </w:t>
      </w:r>
      <w:r w:rsidR="002A6D35">
        <w:rPr>
          <w:rFonts w:hint="cs"/>
          <w:b/>
          <w:bCs/>
          <w:sz w:val="26"/>
          <w:szCs w:val="26"/>
          <w:u w:val="single"/>
          <w:rtl/>
        </w:rPr>
        <w:t xml:space="preserve">התביעה </w:t>
      </w:r>
      <w:r w:rsidR="00C54B5E">
        <w:rPr>
          <w:rFonts w:hint="cs"/>
          <w:b/>
          <w:bCs/>
          <w:sz w:val="26"/>
          <w:szCs w:val="26"/>
          <w:u w:val="single"/>
          <w:rtl/>
        </w:rPr>
        <w:t xml:space="preserve">לסעד הצהרתי </w:t>
      </w:r>
      <w:r w:rsidR="002A6D35">
        <w:rPr>
          <w:rFonts w:hint="cs"/>
          <w:b/>
          <w:bCs/>
          <w:sz w:val="26"/>
          <w:szCs w:val="26"/>
          <w:u w:val="single"/>
          <w:rtl/>
        </w:rPr>
        <w:t xml:space="preserve">שהגישה האישה נגד האב בענין הזכויות בנכס המקרקעין. </w:t>
      </w:r>
    </w:p>
    <w:p w:rsidR="00A747C7" w:rsidRPr="00A747C7" w:rsidRDefault="00A747C7" w:rsidP="00A747C7">
      <w:pPr>
        <w:spacing w:after="120" w:line="360" w:lineRule="auto"/>
        <w:ind w:left="567" w:hanging="567"/>
        <w:jc w:val="both"/>
        <w:rPr>
          <w:b/>
          <w:bCs/>
          <w:u w:val="single"/>
        </w:rPr>
      </w:pPr>
      <w:r w:rsidRPr="00A747C7">
        <w:rPr>
          <w:rFonts w:hint="cs"/>
          <w:b/>
          <w:bCs/>
          <w:rtl/>
        </w:rPr>
        <w:t xml:space="preserve">א.1. </w:t>
      </w:r>
      <w:r w:rsidRPr="00A747C7">
        <w:rPr>
          <w:b/>
          <w:bCs/>
          <w:rtl/>
        </w:rPr>
        <w:tab/>
      </w:r>
      <w:r w:rsidRPr="00A747C7">
        <w:rPr>
          <w:rFonts w:hint="cs"/>
          <w:b/>
          <w:bCs/>
          <w:u w:val="single"/>
          <w:rtl/>
        </w:rPr>
        <w:t>טענות הצדדים</w:t>
      </w:r>
      <w:r>
        <w:rPr>
          <w:rFonts w:hint="cs"/>
          <w:b/>
          <w:bCs/>
          <w:u w:val="single"/>
          <w:rtl/>
        </w:rPr>
        <w:t xml:space="preserve"> בשתי התביעות:</w:t>
      </w:r>
    </w:p>
    <w:p w:rsidR="008A0240" w:rsidRPr="00C87AFB" w:rsidRDefault="00C87AFB" w:rsidP="00BC2F89">
      <w:pPr>
        <w:pStyle w:val="ae"/>
        <w:numPr>
          <w:ilvl w:val="0"/>
          <w:numId w:val="2"/>
        </w:numPr>
        <w:spacing w:after="120" w:line="360" w:lineRule="auto"/>
        <w:ind w:left="567" w:hanging="567"/>
        <w:contextualSpacing w:val="0"/>
        <w:jc w:val="both"/>
      </w:pPr>
      <w:r>
        <w:rPr>
          <w:rFonts w:hint="cs"/>
          <w:b/>
          <w:bCs/>
          <w:u w:val="single"/>
          <w:rtl/>
        </w:rPr>
        <w:t>טענות התובעת, האישה:</w:t>
      </w:r>
    </w:p>
    <w:p w:rsidR="00C54B5E" w:rsidRDefault="00C87AFB" w:rsidP="00C87AFB">
      <w:pPr>
        <w:pStyle w:val="ae"/>
        <w:spacing w:after="120" w:line="360" w:lineRule="auto"/>
        <w:ind w:left="567"/>
        <w:contextualSpacing w:val="0"/>
        <w:jc w:val="both"/>
        <w:rPr>
          <w:rtl/>
        </w:rPr>
      </w:pPr>
      <w:r w:rsidRPr="00C87AFB">
        <w:rPr>
          <w:rFonts w:hint="cs"/>
          <w:rtl/>
        </w:rPr>
        <w:t xml:space="preserve">האיש </w:t>
      </w:r>
      <w:r>
        <w:rPr>
          <w:rFonts w:hint="cs"/>
          <w:rtl/>
        </w:rPr>
        <w:t xml:space="preserve">והאישה נישאו ביום 23.7.2002 (כאשר היו מאורסים משך כתשעה חודשים קודם לנישואין). </w:t>
      </w:r>
    </w:p>
    <w:p w:rsidR="00C87AFB" w:rsidRDefault="00C87AFB" w:rsidP="00741F84">
      <w:pPr>
        <w:pStyle w:val="ae"/>
        <w:spacing w:after="120" w:line="360" w:lineRule="auto"/>
        <w:ind w:left="567"/>
        <w:contextualSpacing w:val="0"/>
        <w:jc w:val="both"/>
        <w:rPr>
          <w:rtl/>
        </w:rPr>
      </w:pPr>
      <w:r>
        <w:rPr>
          <w:rFonts w:hint="cs"/>
          <w:rtl/>
        </w:rPr>
        <w:t xml:space="preserve">לצדדים שלושה ילדים </w:t>
      </w:r>
      <w:r w:rsidR="00741F84">
        <w:rPr>
          <w:rtl/>
        </w:rPr>
        <w:t>–</w:t>
      </w:r>
      <w:r>
        <w:rPr>
          <w:rFonts w:hint="cs"/>
          <w:rtl/>
        </w:rPr>
        <w:t xml:space="preserve"> </w:t>
      </w:r>
      <w:r w:rsidR="00741F84">
        <w:rPr>
          <w:rFonts w:hint="cs"/>
          <w:rtl/>
        </w:rPr>
        <w:t>ט'</w:t>
      </w:r>
      <w:r>
        <w:rPr>
          <w:rFonts w:hint="cs"/>
          <w:rtl/>
        </w:rPr>
        <w:t xml:space="preserve"> ילידת</w:t>
      </w:r>
      <w:r w:rsidR="00741F84">
        <w:rPr>
          <w:rFonts w:hint="cs"/>
          <w:rtl/>
        </w:rPr>
        <w:t xml:space="preserve"> ינואר 2006, פ'</w:t>
      </w:r>
      <w:r>
        <w:rPr>
          <w:rFonts w:hint="cs"/>
          <w:rtl/>
        </w:rPr>
        <w:t xml:space="preserve"> יליד נובמבר 2007 וח</w:t>
      </w:r>
      <w:r w:rsidR="00741F84">
        <w:rPr>
          <w:rFonts w:hint="cs"/>
          <w:rtl/>
        </w:rPr>
        <w:t>'</w:t>
      </w:r>
      <w:r>
        <w:rPr>
          <w:rFonts w:hint="cs"/>
          <w:rtl/>
        </w:rPr>
        <w:t xml:space="preserve"> יליד ספטמבר 2015.</w:t>
      </w:r>
    </w:p>
    <w:p w:rsidR="0024794B" w:rsidRDefault="00A6264C" w:rsidP="00A6264C">
      <w:pPr>
        <w:pStyle w:val="ae"/>
        <w:spacing w:after="120" w:line="360" w:lineRule="auto"/>
        <w:ind w:left="567"/>
        <w:contextualSpacing w:val="0"/>
        <w:jc w:val="both"/>
        <w:rPr>
          <w:rtl/>
        </w:rPr>
      </w:pPr>
      <w:r>
        <w:rPr>
          <w:rFonts w:hint="cs"/>
          <w:rtl/>
        </w:rPr>
        <w:t>הבית נבנה בעת אירוסיו של האיש לאישה אחרת ו</w:t>
      </w:r>
      <w:r w:rsidR="00C87AFB">
        <w:rPr>
          <w:rFonts w:hint="cs"/>
          <w:rtl/>
        </w:rPr>
        <w:t xml:space="preserve">ממועד האירוסין </w:t>
      </w:r>
      <w:r>
        <w:rPr>
          <w:rFonts w:hint="cs"/>
          <w:rtl/>
        </w:rPr>
        <w:t xml:space="preserve">לאישה </w:t>
      </w:r>
      <w:r w:rsidR="00C87AFB">
        <w:rPr>
          <w:rFonts w:hint="cs"/>
          <w:rtl/>
        </w:rPr>
        <w:t>ועד למועד החתונה הושלמה בניית הבית</w:t>
      </w:r>
      <w:r w:rsidR="0024794B">
        <w:rPr>
          <w:rFonts w:hint="cs"/>
          <w:rtl/>
        </w:rPr>
        <w:t xml:space="preserve">. האיש הצהיר בפני האישה כי ברשותו בית מגורים בו יתגוררו הצדדים. </w:t>
      </w:r>
    </w:p>
    <w:p w:rsidR="00A6264C" w:rsidRDefault="00C87AFB" w:rsidP="00A6264C">
      <w:pPr>
        <w:pStyle w:val="ae"/>
        <w:spacing w:after="120" w:line="360" w:lineRule="auto"/>
        <w:ind w:left="567"/>
        <w:contextualSpacing w:val="0"/>
        <w:jc w:val="both"/>
        <w:rPr>
          <w:rtl/>
        </w:rPr>
      </w:pPr>
      <w:r>
        <w:rPr>
          <w:rFonts w:hint="cs"/>
          <w:rtl/>
        </w:rPr>
        <w:t xml:space="preserve">לאחר נישואיהם עברו הצדדים להתגורר בבית משך כ-18 שנים. </w:t>
      </w:r>
      <w:r w:rsidR="00A6264C">
        <w:rPr>
          <w:rFonts w:hint="cs"/>
          <w:rtl/>
        </w:rPr>
        <w:t xml:space="preserve">האישה לקחה חלק בבחירת אביזרי הבניה, עיצוב הבית, תיקונו ורכישת מוצרים שונים. </w:t>
      </w:r>
    </w:p>
    <w:p w:rsidR="008A6CC8" w:rsidRDefault="00A6264C" w:rsidP="008A6CC8">
      <w:pPr>
        <w:pStyle w:val="ae"/>
        <w:spacing w:after="120" w:line="360" w:lineRule="auto"/>
        <w:ind w:left="567"/>
        <w:contextualSpacing w:val="0"/>
        <w:jc w:val="both"/>
        <w:rPr>
          <w:rtl/>
        </w:rPr>
      </w:pPr>
      <w:r>
        <w:rPr>
          <w:rFonts w:hint="cs"/>
          <w:rtl/>
        </w:rPr>
        <w:t>הזכויות בנכס המקרקעין, הבית, נרשמו על שם האיש, היתר הבניה הוצא לטובתו וכך גם הבניה בוצעה מיד לא</w:t>
      </w:r>
      <w:r w:rsidR="008A6CC8">
        <w:rPr>
          <w:rFonts w:hint="cs"/>
          <w:rtl/>
        </w:rPr>
        <w:t>ח</w:t>
      </w:r>
      <w:r>
        <w:rPr>
          <w:rFonts w:hint="cs"/>
          <w:rtl/>
        </w:rPr>
        <w:t xml:space="preserve">ר מכן. </w:t>
      </w:r>
      <w:r w:rsidR="008A6CC8">
        <w:rPr>
          <w:rFonts w:hint="cs"/>
          <w:rtl/>
        </w:rPr>
        <w:t xml:space="preserve">בועדה הרלבנטית מצוין כי האיש הוא בעל הזכויות בנכס. </w:t>
      </w:r>
    </w:p>
    <w:p w:rsidR="00A6264C" w:rsidRDefault="00A6264C" w:rsidP="008A6CC8">
      <w:pPr>
        <w:pStyle w:val="ae"/>
        <w:spacing w:after="120" w:line="360" w:lineRule="auto"/>
        <w:ind w:left="567"/>
        <w:contextualSpacing w:val="0"/>
        <w:jc w:val="both"/>
        <w:rPr>
          <w:rtl/>
        </w:rPr>
      </w:pPr>
      <w:r>
        <w:rPr>
          <w:rFonts w:hint="cs"/>
          <w:rtl/>
        </w:rPr>
        <w:t xml:space="preserve">באופן מפתיע, ביום 22.9.2020, הועברו הזכויות על שם האב, וזאת שעה שמדובר בנכס שנבנה ויועד עבור האיש והאישה במועד האירוסין. </w:t>
      </w:r>
    </w:p>
    <w:p w:rsidR="00C87AFB" w:rsidRDefault="00C87AFB" w:rsidP="00C87AFB">
      <w:pPr>
        <w:pStyle w:val="ae"/>
        <w:spacing w:after="120" w:line="360" w:lineRule="auto"/>
        <w:ind w:left="567"/>
        <w:contextualSpacing w:val="0"/>
        <w:jc w:val="both"/>
        <w:rPr>
          <w:rtl/>
        </w:rPr>
      </w:pPr>
      <w:r>
        <w:rPr>
          <w:rFonts w:hint="cs"/>
          <w:rtl/>
        </w:rPr>
        <w:t>משך שנות הנישואין האישה השקיעה את זמנה ומרצה לגידול הילדים ודאגה למטלות הבית ואילו האיש מנע</w:t>
      </w:r>
      <w:r w:rsidR="00F8218E">
        <w:rPr>
          <w:rFonts w:hint="cs"/>
          <w:rtl/>
        </w:rPr>
        <w:t xml:space="preserve"> ממנה לרכוש השכלה וכפה עליה אורח חיים שזר לה. </w:t>
      </w:r>
    </w:p>
    <w:p w:rsidR="00F8218E" w:rsidRDefault="00F8218E" w:rsidP="00741F84">
      <w:pPr>
        <w:pStyle w:val="ae"/>
        <w:spacing w:after="120" w:line="360" w:lineRule="auto"/>
        <w:ind w:left="567"/>
        <w:contextualSpacing w:val="0"/>
        <w:jc w:val="both"/>
        <w:rPr>
          <w:rtl/>
        </w:rPr>
      </w:pPr>
      <w:r>
        <w:rPr>
          <w:rFonts w:hint="cs"/>
          <w:rtl/>
        </w:rPr>
        <w:t xml:space="preserve">האישה למדה ספרות </w:t>
      </w:r>
      <w:r w:rsidR="00741F84">
        <w:rPr>
          <w:rFonts w:hint="cs"/>
          <w:rtl/>
        </w:rPr>
        <w:t>-----</w:t>
      </w:r>
      <w:r>
        <w:rPr>
          <w:rFonts w:hint="cs"/>
          <w:rtl/>
        </w:rPr>
        <w:t xml:space="preserve"> ותרבות </w:t>
      </w:r>
      <w:r w:rsidR="00741F84">
        <w:rPr>
          <w:rFonts w:hint="cs"/>
          <w:rtl/>
        </w:rPr>
        <w:t>------</w:t>
      </w:r>
      <w:r>
        <w:rPr>
          <w:rFonts w:hint="cs"/>
          <w:rtl/>
        </w:rPr>
        <w:t xml:space="preserve"> ואינה עובדת שעה שהאיש התנגד מאז ומעולם לצאתה לעבודה ומנע ממנה לפתח קריירה או להשתלב בשוק העבודה. </w:t>
      </w:r>
    </w:p>
    <w:p w:rsidR="00F8218E" w:rsidRDefault="00F8218E" w:rsidP="00C87AFB">
      <w:pPr>
        <w:pStyle w:val="ae"/>
        <w:spacing w:after="120" w:line="360" w:lineRule="auto"/>
        <w:ind w:left="567"/>
        <w:contextualSpacing w:val="0"/>
        <w:jc w:val="both"/>
        <w:rPr>
          <w:rtl/>
        </w:rPr>
      </w:pPr>
      <w:r>
        <w:rPr>
          <w:rFonts w:hint="cs"/>
          <w:rtl/>
        </w:rPr>
        <w:t>הכנסות האיש איפשרו לצדדים רמת חיים ממוצעת (וזאת על אף שהוצג מצג של מצב כלכלי רע).</w:t>
      </w:r>
    </w:p>
    <w:p w:rsidR="00F8218E" w:rsidRDefault="00F8218E" w:rsidP="00C87AFB">
      <w:pPr>
        <w:pStyle w:val="ae"/>
        <w:spacing w:after="120" w:line="360" w:lineRule="auto"/>
        <w:ind w:left="567"/>
        <w:contextualSpacing w:val="0"/>
        <w:jc w:val="both"/>
        <w:rPr>
          <w:rtl/>
        </w:rPr>
      </w:pPr>
      <w:r>
        <w:rPr>
          <w:rFonts w:hint="cs"/>
          <w:rtl/>
        </w:rPr>
        <w:t xml:space="preserve">בשל אורח חיי הצדדים והשתייכותם החברתית נתנה האישה אמון באיש ולא השקיעה תשומת לב לאופן רישום הזכויות ולא ראתה צורך לבדוק את האיש ולוודא שכל זכות שנרכשה או נצברה במהלך חייהם אכן נרשמה גם בשמה והאמינה בתום לב כי כספים וזכויות אלה ישמשו תמיד לטובת הצדדים ומשפחתם. </w:t>
      </w:r>
    </w:p>
    <w:p w:rsidR="00A6264C" w:rsidRDefault="00A6264C" w:rsidP="00C54B5E">
      <w:pPr>
        <w:pStyle w:val="ae"/>
        <w:spacing w:after="120" w:line="360" w:lineRule="auto"/>
        <w:ind w:left="567"/>
        <w:contextualSpacing w:val="0"/>
        <w:jc w:val="both"/>
        <w:rPr>
          <w:rtl/>
        </w:rPr>
      </w:pPr>
      <w:r>
        <w:rPr>
          <w:rFonts w:hint="cs"/>
          <w:rtl/>
        </w:rPr>
        <w:lastRenderedPageBreak/>
        <w:t xml:space="preserve">לבסוף נטען, כי </w:t>
      </w:r>
      <w:r w:rsidR="00C54B5E">
        <w:rPr>
          <w:rFonts w:hint="cs"/>
          <w:rtl/>
        </w:rPr>
        <w:t>האישה</w:t>
      </w:r>
      <w:r>
        <w:rPr>
          <w:rFonts w:hint="cs"/>
          <w:rtl/>
        </w:rPr>
        <w:t xml:space="preserve"> בעלים של חשבון בנק שהיתה בו יתרת זכות של 354,000 </w:t>
      </w:r>
      <w:r w:rsidR="00C54B5E">
        <w:rPr>
          <w:rFonts w:hint="cs"/>
          <w:rtl/>
        </w:rPr>
        <w:t>ש</w:t>
      </w:r>
      <w:r w:rsidR="00C54B5E">
        <w:rPr>
          <w:rtl/>
        </w:rPr>
        <w:t>"</w:t>
      </w:r>
      <w:r w:rsidR="00C54B5E">
        <w:rPr>
          <w:rFonts w:hint="cs"/>
          <w:rtl/>
        </w:rPr>
        <w:t>ח</w:t>
      </w:r>
      <w:r>
        <w:rPr>
          <w:rFonts w:hint="cs"/>
          <w:rtl/>
        </w:rPr>
        <w:t xml:space="preserve"> ובמהלך חודש נובמבר 2019, טרם עזיבת האיש את המגורים המשותפים ובראשית הסכסוך הוא משך את כל הכספים מהחשבון. </w:t>
      </w:r>
    </w:p>
    <w:p w:rsidR="00C54B5E" w:rsidRDefault="008A6CC8" w:rsidP="00C87AFB">
      <w:pPr>
        <w:pStyle w:val="ae"/>
        <w:spacing w:after="120" w:line="360" w:lineRule="auto"/>
        <w:ind w:left="567"/>
        <w:contextualSpacing w:val="0"/>
        <w:jc w:val="both"/>
        <w:rPr>
          <w:rtl/>
        </w:rPr>
      </w:pPr>
      <w:r>
        <w:rPr>
          <w:rFonts w:hint="cs"/>
          <w:rtl/>
        </w:rPr>
        <w:t xml:space="preserve">משך כל השנים טען האיש כי מדובר בכספו וכספו של אביו ומקורם בהסעת עובדים פלסטינים. </w:t>
      </w:r>
    </w:p>
    <w:p w:rsidR="008A6CC8" w:rsidRDefault="008A6CC8" w:rsidP="00C87AFB">
      <w:pPr>
        <w:pStyle w:val="ae"/>
        <w:spacing w:after="120" w:line="360" w:lineRule="auto"/>
        <w:ind w:left="567"/>
        <w:contextualSpacing w:val="0"/>
        <w:jc w:val="both"/>
        <w:rPr>
          <w:rtl/>
        </w:rPr>
      </w:pPr>
      <w:r>
        <w:rPr>
          <w:rFonts w:hint="cs"/>
          <w:rtl/>
        </w:rPr>
        <w:t xml:space="preserve">הטענה </w:t>
      </w:r>
      <w:r w:rsidR="00C54B5E">
        <w:rPr>
          <w:rFonts w:hint="cs"/>
          <w:rtl/>
        </w:rPr>
        <w:t xml:space="preserve">שהועלתה במסגרת ההליכים, </w:t>
      </w:r>
      <w:r>
        <w:rPr>
          <w:rFonts w:hint="cs"/>
          <w:rtl/>
        </w:rPr>
        <w:t>כי מדובר בכספים השייכים למעסיק קודם של האב היא שקרית.</w:t>
      </w:r>
    </w:p>
    <w:p w:rsidR="008A0240" w:rsidRDefault="00EB67FB" w:rsidP="002A6D35">
      <w:pPr>
        <w:pStyle w:val="ae"/>
        <w:numPr>
          <w:ilvl w:val="0"/>
          <w:numId w:val="2"/>
        </w:numPr>
        <w:spacing w:after="120" w:line="360" w:lineRule="auto"/>
        <w:ind w:left="567" w:hanging="567"/>
        <w:contextualSpacing w:val="0"/>
        <w:jc w:val="both"/>
        <w:rPr>
          <w:b/>
          <w:bCs/>
          <w:u w:val="single"/>
        </w:rPr>
      </w:pPr>
      <w:r w:rsidRPr="00EB67FB">
        <w:rPr>
          <w:rFonts w:hint="cs"/>
          <w:b/>
          <w:bCs/>
          <w:u w:val="single"/>
          <w:rtl/>
        </w:rPr>
        <w:t>טענות האיש</w:t>
      </w:r>
      <w:r w:rsidR="003A7F21">
        <w:rPr>
          <w:rFonts w:hint="cs"/>
          <w:b/>
          <w:bCs/>
          <w:u w:val="single"/>
          <w:rtl/>
        </w:rPr>
        <w:t xml:space="preserve"> והאב בהתייחס לשתי התביעות האמורות</w:t>
      </w:r>
      <w:r w:rsidRPr="00EB67FB">
        <w:rPr>
          <w:rFonts w:hint="cs"/>
          <w:b/>
          <w:bCs/>
          <w:u w:val="single"/>
          <w:rtl/>
        </w:rPr>
        <w:t>:</w:t>
      </w:r>
    </w:p>
    <w:p w:rsidR="00EB67FB" w:rsidRDefault="00EB67FB" w:rsidP="00EB67FB">
      <w:pPr>
        <w:pStyle w:val="ae"/>
        <w:spacing w:after="120" w:line="360" w:lineRule="auto"/>
        <w:ind w:left="567"/>
        <w:contextualSpacing w:val="0"/>
        <w:jc w:val="both"/>
        <w:rPr>
          <w:rtl/>
        </w:rPr>
      </w:pPr>
      <w:r w:rsidRPr="00EB67FB">
        <w:rPr>
          <w:rFonts w:hint="cs"/>
          <w:rtl/>
        </w:rPr>
        <w:t>הצדדים חתמו על הסכם נישואין אשר קבע את תנאי הנשואין וקבעו את אי תחולת חוק יחסי ממון בני בני זוג על מערכת היחסים ביניהם</w:t>
      </w:r>
      <w:r w:rsidR="005F3384">
        <w:rPr>
          <w:rFonts w:hint="cs"/>
          <w:rtl/>
        </w:rPr>
        <w:t>.</w:t>
      </w:r>
      <w:r w:rsidR="00F52EAD">
        <w:rPr>
          <w:rFonts w:hint="cs"/>
          <w:rtl/>
        </w:rPr>
        <w:t xml:space="preserve"> אם יחליט בית המשפט כי יש מקום להחיל את החוק האמור, יש לסטות מהחלוקה השווה מאחר והאישה לא תרמה שום תרומה משמעותית לכלכלת הבית. </w:t>
      </w:r>
    </w:p>
    <w:p w:rsidR="005F3384" w:rsidRDefault="005F3384" w:rsidP="005F3384">
      <w:pPr>
        <w:spacing w:after="120" w:line="360" w:lineRule="auto"/>
        <w:ind w:left="567"/>
        <w:jc w:val="both"/>
        <w:rPr>
          <w:rtl/>
        </w:rPr>
      </w:pPr>
      <w:r>
        <w:rPr>
          <w:rFonts w:hint="cs"/>
          <w:rtl/>
        </w:rPr>
        <w:t>בניית נכס המקרקעין הושלמה קודם לנשואין והיתה מוכנה עוד טרם הכירו האיש והאישה כאש</w:t>
      </w:r>
      <w:r w:rsidR="00FF3864">
        <w:rPr>
          <w:rFonts w:hint="cs"/>
          <w:rtl/>
        </w:rPr>
        <w:t>ר</w:t>
      </w:r>
      <w:r>
        <w:rPr>
          <w:rFonts w:hint="cs"/>
          <w:rtl/>
        </w:rPr>
        <w:t xml:space="preserve"> מימון רכישת הקרקע והבניה נעשתה על ידי האב והכל בידיעתה של האישה. </w:t>
      </w:r>
      <w:r w:rsidR="00FF3864">
        <w:rPr>
          <w:rFonts w:hint="cs"/>
          <w:rtl/>
        </w:rPr>
        <w:t xml:space="preserve">הזכויות לא היו רשומות על שם האיש מעולם והנכס הוא בבעלותו של האב. </w:t>
      </w:r>
    </w:p>
    <w:p w:rsidR="00FF3864" w:rsidRDefault="00C54B5E" w:rsidP="00741F84">
      <w:pPr>
        <w:spacing w:after="120" w:line="360" w:lineRule="auto"/>
        <w:ind w:left="567"/>
        <w:jc w:val="both"/>
        <w:rPr>
          <w:rtl/>
        </w:rPr>
      </w:pPr>
      <w:r>
        <w:rPr>
          <w:rFonts w:hint="cs"/>
          <w:rtl/>
        </w:rPr>
        <w:t>הנכס</w:t>
      </w:r>
      <w:r w:rsidR="00FF3864">
        <w:rPr>
          <w:rFonts w:hint="cs"/>
          <w:rtl/>
        </w:rPr>
        <w:t xml:space="preserve"> נרכש על ידי האב מאת מר </w:t>
      </w:r>
      <w:r w:rsidR="00741F84">
        <w:rPr>
          <w:rFonts w:hint="cs"/>
          <w:rtl/>
        </w:rPr>
        <w:t>--------</w:t>
      </w:r>
      <w:r w:rsidR="00FF3864">
        <w:rPr>
          <w:rFonts w:hint="cs"/>
          <w:rtl/>
        </w:rPr>
        <w:t xml:space="preserve"> ז"ל יחד עם רוכשים נוספים לאחר ששולמו כל הסכומים, המיסים וההיטלים הנדרשים הושלם העברת הרישום על שם האב. </w:t>
      </w:r>
    </w:p>
    <w:p w:rsidR="00FF3864" w:rsidRDefault="00FF3864" w:rsidP="005F3384">
      <w:pPr>
        <w:spacing w:after="120" w:line="360" w:lineRule="auto"/>
        <w:ind w:left="567"/>
        <w:jc w:val="both"/>
        <w:rPr>
          <w:rtl/>
        </w:rPr>
      </w:pPr>
      <w:r>
        <w:rPr>
          <w:rFonts w:hint="cs"/>
          <w:rtl/>
        </w:rPr>
        <w:t xml:space="preserve">על הקרקע בנויים שני מבנים במבנה אחד התגוררו האיש והאישה ובמבנה הנוסף מתגורר אחיו של האיש. </w:t>
      </w:r>
    </w:p>
    <w:p w:rsidR="00FF3864" w:rsidRDefault="00FF3864" w:rsidP="005F3384">
      <w:pPr>
        <w:spacing w:after="120" w:line="360" w:lineRule="auto"/>
        <w:ind w:left="567"/>
        <w:jc w:val="both"/>
        <w:rPr>
          <w:rtl/>
        </w:rPr>
      </w:pPr>
      <w:r>
        <w:rPr>
          <w:rFonts w:hint="cs"/>
          <w:rtl/>
        </w:rPr>
        <w:t xml:space="preserve">הבית נועד לשמש את האיש וארוסתו הראשונה ועל כן שקד האיש בעזרת כספי אביו להשלים את הבניה של הדירה אך אירוסיו הסתיימו. בעת אירוסיו של האיש לאישה והחתימה על הסכם הנישואין התגוררה האישה בבית הוריה וכאשר עברה לבית, במועד הנשואין, היה </w:t>
      </w:r>
      <w:r w:rsidR="00A6137F">
        <w:rPr>
          <w:rFonts w:hint="cs"/>
          <w:rtl/>
        </w:rPr>
        <w:t xml:space="preserve">הבית נקי, מרוצף, צבוע ומסויד כך שהצדדים לא נדרשו להשקיע דבר בבית. </w:t>
      </w:r>
    </w:p>
    <w:p w:rsidR="00F52EAD" w:rsidRDefault="00F52EAD" w:rsidP="00F52EAD">
      <w:pPr>
        <w:spacing w:after="120" w:line="360" w:lineRule="auto"/>
        <w:ind w:left="567"/>
        <w:jc w:val="both"/>
        <w:rPr>
          <w:rtl/>
        </w:rPr>
      </w:pPr>
      <w:r>
        <w:rPr>
          <w:rFonts w:hint="cs"/>
          <w:rtl/>
        </w:rPr>
        <w:t xml:space="preserve">בניית הבית הושלמה עוד לפני הנשואין ולא היתה שום התייחסות בתנאי הנשואין לבית. </w:t>
      </w:r>
    </w:p>
    <w:p w:rsidR="005F3384" w:rsidRDefault="005F3384" w:rsidP="00741F84">
      <w:pPr>
        <w:spacing w:after="120" w:line="360" w:lineRule="auto"/>
        <w:ind w:left="567"/>
        <w:jc w:val="both"/>
        <w:rPr>
          <w:rtl/>
        </w:rPr>
      </w:pPr>
      <w:r>
        <w:rPr>
          <w:rFonts w:hint="cs"/>
          <w:rtl/>
        </w:rPr>
        <w:t>האישה בחרה ללמוד "</w:t>
      </w:r>
      <w:r w:rsidR="00741F84">
        <w:rPr>
          <w:rFonts w:hint="cs"/>
          <w:rtl/>
        </w:rPr>
        <w:t>-----</w:t>
      </w:r>
      <w:r>
        <w:rPr>
          <w:rFonts w:hint="cs"/>
          <w:rtl/>
        </w:rPr>
        <w:t xml:space="preserve">" ושפה </w:t>
      </w:r>
      <w:r w:rsidR="00741F84">
        <w:rPr>
          <w:rFonts w:hint="cs"/>
          <w:rtl/>
        </w:rPr>
        <w:t>----</w:t>
      </w:r>
      <w:r>
        <w:rPr>
          <w:rFonts w:hint="cs"/>
          <w:rtl/>
        </w:rPr>
        <w:t xml:space="preserve">על פני לימודי תואר מוכר שיאפשרו השתלבותה בשוק העבודה כאשר היא מעדיפה לימודי העשרה תחת נטילת חלק בנטל הפרנסה המשפחתי. </w:t>
      </w:r>
    </w:p>
    <w:p w:rsidR="00862F05" w:rsidRDefault="00862F05" w:rsidP="005F3384">
      <w:pPr>
        <w:spacing w:after="120" w:line="360" w:lineRule="auto"/>
        <w:ind w:left="567"/>
        <w:jc w:val="both"/>
        <w:rPr>
          <w:rtl/>
        </w:rPr>
      </w:pPr>
      <w:r>
        <w:rPr>
          <w:rFonts w:hint="cs"/>
          <w:rtl/>
        </w:rPr>
        <w:t>האישה דחקה באיש להגדיל את פוטנציאל השתכרותו כך שהיקף העבודה שלו הגיע לכ-70 שעות נוספות בחודש בכדי לעמוד בהו</w:t>
      </w:r>
      <w:r w:rsidR="002C100A">
        <w:rPr>
          <w:rFonts w:hint="cs"/>
          <w:rtl/>
        </w:rPr>
        <w:t>צ</w:t>
      </w:r>
      <w:r>
        <w:rPr>
          <w:rFonts w:hint="cs"/>
          <w:rtl/>
        </w:rPr>
        <w:t xml:space="preserve">אות המשפחה. </w:t>
      </w:r>
    </w:p>
    <w:p w:rsidR="00862F05" w:rsidRDefault="00862F05" w:rsidP="00C54B5E">
      <w:pPr>
        <w:spacing w:after="120" w:line="360" w:lineRule="auto"/>
        <w:ind w:left="567"/>
        <w:jc w:val="both"/>
        <w:rPr>
          <w:rtl/>
        </w:rPr>
      </w:pPr>
      <w:r>
        <w:rPr>
          <w:rFonts w:hint="cs"/>
          <w:rtl/>
        </w:rPr>
        <w:lastRenderedPageBreak/>
        <w:t xml:space="preserve">באמצע חודש מאי 2020 החליטה האישה כי היא מאסה בחיי הנשואין ובאיש וכאשר הגיע האיש לביתו גילה כי האישה החליפה מנעול וגירשה אותו מבית האב ומנעה את כניסתו. האישה השאירה פתק על דלת הכניסה (נספח ד' לכתב ההגנה). </w:t>
      </w:r>
    </w:p>
    <w:p w:rsidR="00862F05" w:rsidRDefault="00862F05" w:rsidP="00741F84">
      <w:pPr>
        <w:spacing w:after="120" w:line="360" w:lineRule="auto"/>
        <w:ind w:left="567"/>
        <w:jc w:val="both"/>
        <w:rPr>
          <w:rtl/>
        </w:rPr>
      </w:pPr>
      <w:r>
        <w:rPr>
          <w:rFonts w:hint="cs"/>
          <w:rtl/>
        </w:rPr>
        <w:t xml:space="preserve">בהתייחס לטענות לגבי מצבם הכלכלי של הצדדים טען האיש, כי הוא עובד במפעל </w:t>
      </w:r>
      <w:r w:rsidR="00741F84">
        <w:rPr>
          <w:rFonts w:hint="cs"/>
          <w:rtl/>
        </w:rPr>
        <w:t>------</w:t>
      </w:r>
      <w:r>
        <w:rPr>
          <w:rFonts w:hint="cs"/>
          <w:rtl/>
        </w:rPr>
        <w:t xml:space="preserve">ומשכורתו </w:t>
      </w:r>
      <w:r w:rsidR="00C54B5E">
        <w:rPr>
          <w:rFonts w:hint="cs"/>
          <w:rtl/>
        </w:rPr>
        <w:t>החודשית נעה</w:t>
      </w:r>
      <w:r w:rsidR="008D3135">
        <w:rPr>
          <w:rFonts w:hint="cs"/>
          <w:rtl/>
        </w:rPr>
        <w:t xml:space="preserve"> בין 9,000-11,000 </w:t>
      </w:r>
      <w:r w:rsidR="00C54B5E">
        <w:rPr>
          <w:rFonts w:hint="cs"/>
          <w:rtl/>
        </w:rPr>
        <w:t>ש</w:t>
      </w:r>
      <w:r w:rsidR="00C54B5E">
        <w:rPr>
          <w:rtl/>
        </w:rPr>
        <w:t>"</w:t>
      </w:r>
      <w:r w:rsidR="00C54B5E">
        <w:rPr>
          <w:rFonts w:hint="cs"/>
          <w:rtl/>
        </w:rPr>
        <w:t>ח</w:t>
      </w:r>
      <w:r w:rsidR="008D3135">
        <w:rPr>
          <w:rFonts w:hint="cs"/>
          <w:rtl/>
        </w:rPr>
        <w:t xml:space="preserve">, כאשר השכר מתבסס על שעות נוספות. </w:t>
      </w:r>
    </w:p>
    <w:p w:rsidR="008D3135" w:rsidRDefault="008D3135" w:rsidP="00741F84">
      <w:pPr>
        <w:spacing w:after="120" w:line="360" w:lineRule="auto"/>
        <w:ind w:left="567"/>
        <w:jc w:val="both"/>
        <w:rPr>
          <w:rtl/>
        </w:rPr>
      </w:pPr>
      <w:r>
        <w:rPr>
          <w:rFonts w:hint="cs"/>
          <w:rtl/>
        </w:rPr>
        <w:t xml:space="preserve">בהתייחס לכספים צבורים בחשבונות הבנק טען האיש, כי יש לו חשבון בבנק </w:t>
      </w:r>
      <w:r w:rsidR="00741F84">
        <w:rPr>
          <w:rFonts w:hint="cs"/>
          <w:rtl/>
        </w:rPr>
        <w:t>-----</w:t>
      </w:r>
      <w:r>
        <w:rPr>
          <w:rFonts w:hint="cs"/>
          <w:rtl/>
        </w:rPr>
        <w:t xml:space="preserve"> וכן חשבון נוסף בבנק </w:t>
      </w:r>
      <w:r w:rsidR="00741F84">
        <w:rPr>
          <w:rFonts w:hint="cs"/>
          <w:rtl/>
        </w:rPr>
        <w:t>----</w:t>
      </w:r>
      <w:r>
        <w:rPr>
          <w:rFonts w:hint="cs"/>
          <w:rtl/>
        </w:rPr>
        <w:t xml:space="preserve"> אליו נכנסת משכורתו וממנו משולמות הוצאות. לאישה היתה שליטה מוחלטת במידע הנוגע לחשבונות הבנק לרבות הפקדת המחאות השייכות למעסיקו של האב אשר הפקיד כספים בנאמנות בחשבון על שמה של האישה בכדי שישולמו משכורות לעובדים שהועסקו על ידי המעביד. </w:t>
      </w:r>
    </w:p>
    <w:p w:rsidR="008D3135" w:rsidRDefault="008D3135" w:rsidP="005F3384">
      <w:pPr>
        <w:spacing w:after="120" w:line="360" w:lineRule="auto"/>
        <w:ind w:left="567"/>
        <w:jc w:val="both"/>
        <w:rPr>
          <w:rtl/>
        </w:rPr>
      </w:pPr>
      <w:r>
        <w:rPr>
          <w:rFonts w:hint="cs"/>
          <w:rtl/>
        </w:rPr>
        <w:t xml:space="preserve">עוד </w:t>
      </w:r>
      <w:r w:rsidR="00FF3864">
        <w:rPr>
          <w:rFonts w:hint="cs"/>
          <w:rtl/>
        </w:rPr>
        <w:t xml:space="preserve">נטען, כי לצדדים שני רכבים הרשומים על שם האיש כאשר אחד מהם מצוי בשימושה ואחריותה הבלעדיים של האישה מאז מועד הקרע וכי מרבית המטלטלין הובאו לבית על ידי האיש ומשך הנשואין הוחלפו דברי חשמל וריהוט והפריטים שנותרו בבית עומדים לרשות האישה. </w:t>
      </w:r>
    </w:p>
    <w:p w:rsidR="00FF3864" w:rsidRDefault="00FF3864" w:rsidP="00F34CA2">
      <w:pPr>
        <w:spacing w:after="120" w:line="360" w:lineRule="auto"/>
        <w:ind w:left="567"/>
        <w:jc w:val="both"/>
        <w:rPr>
          <w:rtl/>
        </w:rPr>
      </w:pPr>
      <w:r>
        <w:rPr>
          <w:rFonts w:hint="cs"/>
          <w:rtl/>
        </w:rPr>
        <w:t>כן טע</w:t>
      </w:r>
      <w:r w:rsidR="002A6D35">
        <w:rPr>
          <w:rFonts w:hint="cs"/>
          <w:rtl/>
        </w:rPr>
        <w:t>ן האיש, כי</w:t>
      </w:r>
      <w:r>
        <w:rPr>
          <w:rFonts w:hint="cs"/>
          <w:rtl/>
        </w:rPr>
        <w:t xml:space="preserve"> רכש לאישה זהב בשווי של כ - 112,000 </w:t>
      </w:r>
      <w:r w:rsidR="00F34CA2">
        <w:rPr>
          <w:rFonts w:hint="cs"/>
          <w:rtl/>
        </w:rPr>
        <w:t>ש"ח</w:t>
      </w:r>
      <w:r>
        <w:rPr>
          <w:rFonts w:hint="cs"/>
          <w:rtl/>
        </w:rPr>
        <w:t>.</w:t>
      </w:r>
    </w:p>
    <w:p w:rsidR="00A747C7" w:rsidRPr="002C100A" w:rsidRDefault="00A747C7" w:rsidP="002C100A">
      <w:pPr>
        <w:spacing w:after="120" w:line="360" w:lineRule="auto"/>
        <w:jc w:val="both"/>
        <w:rPr>
          <w:b/>
          <w:bCs/>
          <w:u w:val="single"/>
          <w:rtl/>
        </w:rPr>
      </w:pPr>
      <w:r w:rsidRPr="00A747C7">
        <w:rPr>
          <w:rFonts w:hint="cs"/>
          <w:b/>
          <w:bCs/>
          <w:rtl/>
        </w:rPr>
        <w:t xml:space="preserve">א.2. </w:t>
      </w:r>
      <w:r w:rsidRPr="00A747C7">
        <w:rPr>
          <w:b/>
          <w:bCs/>
          <w:rtl/>
        </w:rPr>
        <w:tab/>
      </w:r>
      <w:r w:rsidR="002C100A" w:rsidRPr="002C100A">
        <w:rPr>
          <w:rFonts w:hint="cs"/>
          <w:b/>
          <w:bCs/>
          <w:u w:val="single"/>
          <w:rtl/>
        </w:rPr>
        <w:t xml:space="preserve">מינוי שמאי מומחה והגשת </w:t>
      </w:r>
      <w:r w:rsidRPr="002C100A">
        <w:rPr>
          <w:rFonts w:hint="cs"/>
          <w:b/>
          <w:bCs/>
          <w:u w:val="single"/>
          <w:rtl/>
        </w:rPr>
        <w:t xml:space="preserve">חוות דעתו </w:t>
      </w:r>
    </w:p>
    <w:p w:rsidR="00A747C7" w:rsidRDefault="00A747C7" w:rsidP="00C54B5E">
      <w:pPr>
        <w:pStyle w:val="ae"/>
        <w:numPr>
          <w:ilvl w:val="0"/>
          <w:numId w:val="2"/>
        </w:numPr>
        <w:spacing w:after="120" w:line="360" w:lineRule="auto"/>
        <w:ind w:left="567" w:hanging="567"/>
        <w:contextualSpacing w:val="0"/>
        <w:jc w:val="both"/>
      </w:pPr>
      <w:r w:rsidRPr="00F34CA2">
        <w:rPr>
          <w:rFonts w:hint="cs"/>
          <w:rtl/>
        </w:rPr>
        <w:t>ביום 18.11.202</w:t>
      </w:r>
      <w:r w:rsidR="00F34CA2" w:rsidRPr="00F34CA2">
        <w:rPr>
          <w:rFonts w:hint="cs"/>
          <w:rtl/>
        </w:rPr>
        <w:t>1</w:t>
      </w:r>
      <w:r w:rsidRPr="00F34CA2">
        <w:rPr>
          <w:rFonts w:hint="cs"/>
          <w:rtl/>
        </w:rPr>
        <w:t xml:space="preserve"> מונה שמאי כמומחה מטעם בית המשפט. </w:t>
      </w:r>
      <w:r w:rsidR="00F34CA2">
        <w:rPr>
          <w:rFonts w:hint="cs"/>
          <w:rtl/>
        </w:rPr>
        <w:t>חוות הדעת הוגשה ביום 1.2.2022. המומחה ציין, כי מדובר במגרש בשטח</w:t>
      </w:r>
      <w:r w:rsidR="003B338E">
        <w:rPr>
          <w:rFonts w:hint="cs"/>
          <w:rtl/>
        </w:rPr>
        <w:t xml:space="preserve"> של 685 מ"ר על</w:t>
      </w:r>
      <w:r w:rsidR="00C54B5E">
        <w:rPr>
          <w:rFonts w:hint="cs"/>
          <w:rtl/>
        </w:rPr>
        <w:t>י</w:t>
      </w:r>
      <w:r w:rsidR="003B338E">
        <w:rPr>
          <w:rFonts w:hint="cs"/>
          <w:rtl/>
        </w:rPr>
        <w:t>ו מ</w:t>
      </w:r>
      <w:r w:rsidR="00C54B5E">
        <w:rPr>
          <w:rFonts w:hint="cs"/>
          <w:rtl/>
        </w:rPr>
        <w:t>ב</w:t>
      </w:r>
      <w:r w:rsidR="003B338E">
        <w:rPr>
          <w:rFonts w:hint="cs"/>
          <w:rtl/>
        </w:rPr>
        <w:t>נה מגורים בן שתי קומות ומרתף בגודל 234 מ"ר וכן חצר שאינה מטופחת וכוללת מספר עצי פרי.</w:t>
      </w:r>
    </w:p>
    <w:p w:rsidR="00103DB2" w:rsidRDefault="00103DB2" w:rsidP="00103DB2">
      <w:pPr>
        <w:pStyle w:val="ae"/>
        <w:spacing w:after="120" w:line="360" w:lineRule="auto"/>
        <w:ind w:left="567"/>
        <w:contextualSpacing w:val="0"/>
        <w:jc w:val="both"/>
        <w:rPr>
          <w:rtl/>
        </w:rPr>
      </w:pPr>
      <w:r>
        <w:rPr>
          <w:rFonts w:hint="cs"/>
          <w:rtl/>
        </w:rPr>
        <w:t xml:space="preserve">לככתחילה קבע </w:t>
      </w:r>
      <w:r w:rsidR="003B338E">
        <w:rPr>
          <w:rFonts w:hint="cs"/>
          <w:rtl/>
        </w:rPr>
        <w:t>המומחה, כי הבניה בוצעה במהלך השנים 2002-2000 וסביר לייחס את הבניה לשנת 2001 (סעיף 3</w:t>
      </w:r>
      <w:r w:rsidR="00157F49">
        <w:rPr>
          <w:rFonts w:hint="cs"/>
          <w:rtl/>
        </w:rPr>
        <w:t xml:space="preserve"> וכן ח.ג.</w:t>
      </w:r>
      <w:r w:rsidR="003B338E">
        <w:rPr>
          <w:rFonts w:hint="cs"/>
          <w:rtl/>
        </w:rPr>
        <w:t>)</w:t>
      </w:r>
      <w:r>
        <w:rPr>
          <w:rFonts w:hint="cs"/>
          <w:rtl/>
        </w:rPr>
        <w:t>.</w:t>
      </w:r>
      <w:r w:rsidR="003B338E">
        <w:rPr>
          <w:rFonts w:hint="cs"/>
          <w:rtl/>
        </w:rPr>
        <w:t xml:space="preserve"> </w:t>
      </w:r>
    </w:p>
    <w:p w:rsidR="00103DB2" w:rsidRDefault="00103DB2" w:rsidP="00103DB2">
      <w:pPr>
        <w:pStyle w:val="ae"/>
        <w:spacing w:after="120" w:line="360" w:lineRule="auto"/>
        <w:ind w:left="567"/>
        <w:contextualSpacing w:val="0"/>
        <w:jc w:val="both"/>
        <w:rPr>
          <w:rtl/>
        </w:rPr>
      </w:pPr>
      <w:r>
        <w:rPr>
          <w:rFonts w:hint="cs"/>
          <w:rtl/>
        </w:rPr>
        <w:t xml:space="preserve">במענה לשאלות הבהרה שהוצגו למומחה השיב המומחה כי על פי תצלום אויר משנת 1997 שהוצג לו לאחר שנערכה חוות הדעת, אכן קיים מבנה ברקע התכנית אך לא ברור אם הבניה הושלמה ונדמה כי המבנה קיים ללא פיתוח סביבו כולל אזור כניסה - באופן שמעיד על כך שהמבנה לא מאוכלס. </w:t>
      </w:r>
    </w:p>
    <w:p w:rsidR="00103DB2" w:rsidRDefault="00103DB2" w:rsidP="00103DB2">
      <w:pPr>
        <w:pStyle w:val="ae"/>
        <w:spacing w:after="120" w:line="360" w:lineRule="auto"/>
        <w:ind w:left="567"/>
        <w:contextualSpacing w:val="0"/>
        <w:jc w:val="both"/>
        <w:rPr>
          <w:rtl/>
        </w:rPr>
      </w:pPr>
      <w:r>
        <w:rPr>
          <w:rFonts w:hint="cs"/>
          <w:rtl/>
        </w:rPr>
        <w:t xml:space="preserve">לעומת זאת, התצלום שהוצג למומחה משנת 2000 מראה עבודות פיתוח שכוללות שביל כניסה לבית וגם על פי תצלום זה נדמה כי העבודות לא הושלמו. משכך סבר המומחה כי מועד הבניה החל לפני שנת 1997 כאשר לא ברור מתי הסתיימו העבודות אך האכלוס היה ככל הנראה אחרי שנת 2000. </w:t>
      </w:r>
    </w:p>
    <w:p w:rsidR="00103DB2" w:rsidRPr="00103DB2" w:rsidRDefault="00103DB2" w:rsidP="00103DB2">
      <w:pPr>
        <w:pStyle w:val="ae"/>
        <w:spacing w:after="120" w:line="360" w:lineRule="auto"/>
        <w:ind w:left="567"/>
        <w:contextualSpacing w:val="0"/>
        <w:jc w:val="both"/>
        <w:rPr>
          <w:b/>
          <w:bCs/>
        </w:rPr>
      </w:pPr>
      <w:r w:rsidRPr="00103DB2">
        <w:rPr>
          <w:rFonts w:hint="cs"/>
          <w:b/>
          <w:bCs/>
          <w:rtl/>
        </w:rPr>
        <w:lastRenderedPageBreak/>
        <w:t xml:space="preserve">על כן קבע המומחה תיקון לקביעה בדבר שנות בניית הנכס וקבע כי הבניה </w:t>
      </w:r>
      <w:r w:rsidR="00C54B5E">
        <w:rPr>
          <w:rFonts w:hint="cs"/>
          <w:b/>
          <w:bCs/>
          <w:rtl/>
        </w:rPr>
        <w:t xml:space="preserve">של הנכס </w:t>
      </w:r>
      <w:r w:rsidRPr="00103DB2">
        <w:rPr>
          <w:rFonts w:hint="cs"/>
          <w:b/>
          <w:bCs/>
          <w:rtl/>
        </w:rPr>
        <w:t>ה</w:t>
      </w:r>
      <w:r w:rsidR="00C54B5E">
        <w:rPr>
          <w:rFonts w:hint="cs"/>
          <w:b/>
          <w:bCs/>
          <w:rtl/>
        </w:rPr>
        <w:t>ת</w:t>
      </w:r>
      <w:r w:rsidRPr="00103DB2">
        <w:rPr>
          <w:rFonts w:hint="cs"/>
          <w:b/>
          <w:bCs/>
          <w:rtl/>
        </w:rPr>
        <w:t xml:space="preserve">בצעה בין השנים 2001-1997 </w:t>
      </w:r>
      <w:r w:rsidRPr="00103DB2">
        <w:rPr>
          <w:rFonts w:hint="cs"/>
          <w:rtl/>
        </w:rPr>
        <w:t>(תשובות לשאלות הבהרה, הוגשו ביום 26.4.2022).</w:t>
      </w:r>
      <w:r w:rsidRPr="00103DB2">
        <w:rPr>
          <w:rFonts w:hint="cs"/>
          <w:b/>
          <w:bCs/>
          <w:rtl/>
        </w:rPr>
        <w:t xml:space="preserve"> </w:t>
      </w:r>
    </w:p>
    <w:p w:rsidR="00157F49" w:rsidRDefault="00103DB2" w:rsidP="00046A3D">
      <w:pPr>
        <w:pStyle w:val="ae"/>
        <w:numPr>
          <w:ilvl w:val="0"/>
          <w:numId w:val="2"/>
        </w:numPr>
        <w:spacing w:after="120" w:line="360" w:lineRule="auto"/>
        <w:ind w:left="567" w:hanging="567"/>
        <w:contextualSpacing w:val="0"/>
        <w:jc w:val="both"/>
      </w:pPr>
      <w:r>
        <w:rPr>
          <w:rFonts w:hint="cs"/>
          <w:rtl/>
        </w:rPr>
        <w:t xml:space="preserve">אשר למצבו של הנכס </w:t>
      </w:r>
      <w:r w:rsidR="00046A3D">
        <w:rPr>
          <w:rFonts w:hint="cs"/>
          <w:rtl/>
        </w:rPr>
        <w:t>-</w:t>
      </w:r>
      <w:r w:rsidR="008C7AD6">
        <w:rPr>
          <w:rFonts w:hint="cs"/>
          <w:rtl/>
        </w:rPr>
        <w:t xml:space="preserve"> המומחה קבע, </w:t>
      </w:r>
      <w:r w:rsidR="003B338E">
        <w:rPr>
          <w:rFonts w:hint="cs"/>
          <w:rtl/>
        </w:rPr>
        <w:t xml:space="preserve">כי רמת התחזוקה של הנכס ירודה, דרושים תיקונים ותחזוקת איטום של הגג. כן קבע המומחה כי קיימים מוקדים של עובש ורטיבות (סעיפים 7-6). </w:t>
      </w:r>
    </w:p>
    <w:p w:rsidR="00157F49" w:rsidRDefault="00157F49" w:rsidP="00F34CA2">
      <w:pPr>
        <w:pStyle w:val="ae"/>
        <w:numPr>
          <w:ilvl w:val="0"/>
          <w:numId w:val="2"/>
        </w:numPr>
        <w:spacing w:after="120" w:line="360" w:lineRule="auto"/>
        <w:ind w:left="567" w:hanging="567"/>
        <w:contextualSpacing w:val="0"/>
        <w:jc w:val="both"/>
      </w:pPr>
      <w:r>
        <w:rPr>
          <w:rFonts w:hint="cs"/>
          <w:rtl/>
        </w:rPr>
        <w:t xml:space="preserve">המומחה התייחס לבעלי הזכויות בנכס ופרט את שמות בעלי הזכויות וחלקם בנכס. האב הוא בעלים של חלק מהנכס יחד עם 6 אנשים נוספים (סעיף 7.1). </w:t>
      </w:r>
    </w:p>
    <w:p w:rsidR="00157F49" w:rsidRDefault="00157F49" w:rsidP="00F34CA2">
      <w:pPr>
        <w:pStyle w:val="ae"/>
        <w:numPr>
          <w:ilvl w:val="0"/>
          <w:numId w:val="2"/>
        </w:numPr>
        <w:spacing w:after="120" w:line="360" w:lineRule="auto"/>
        <w:ind w:left="567" w:hanging="567"/>
        <w:contextualSpacing w:val="0"/>
        <w:jc w:val="both"/>
      </w:pPr>
      <w:r>
        <w:rPr>
          <w:rFonts w:hint="cs"/>
          <w:rtl/>
        </w:rPr>
        <w:t xml:space="preserve">היתר הבניה ניתן ביום 17.6.2001 כאשר בעל ההיתר הוא האיש. </w:t>
      </w:r>
    </w:p>
    <w:p w:rsidR="00E10740" w:rsidRDefault="00157F49" w:rsidP="00F34CA2">
      <w:pPr>
        <w:pStyle w:val="ae"/>
        <w:numPr>
          <w:ilvl w:val="0"/>
          <w:numId w:val="2"/>
        </w:numPr>
        <w:spacing w:after="120" w:line="360" w:lineRule="auto"/>
        <w:ind w:left="567" w:hanging="567"/>
        <w:contextualSpacing w:val="0"/>
        <w:jc w:val="both"/>
      </w:pPr>
      <w:r>
        <w:rPr>
          <w:rFonts w:hint="cs"/>
          <w:rtl/>
        </w:rPr>
        <w:t xml:space="preserve">המומחה העריך את דמי השכירות לנכס בסך 3,500 </w:t>
      </w:r>
      <w:r w:rsidR="00C54B5E">
        <w:rPr>
          <w:rFonts w:hint="cs"/>
          <w:rtl/>
        </w:rPr>
        <w:t>ש</w:t>
      </w:r>
      <w:r w:rsidR="00C54B5E">
        <w:rPr>
          <w:rtl/>
        </w:rPr>
        <w:t>"</w:t>
      </w:r>
      <w:r w:rsidR="00C54B5E">
        <w:rPr>
          <w:rFonts w:hint="cs"/>
          <w:rtl/>
        </w:rPr>
        <w:t>ח</w:t>
      </w:r>
      <w:r>
        <w:rPr>
          <w:rFonts w:hint="cs"/>
          <w:rtl/>
        </w:rPr>
        <w:t xml:space="preserve"> בחודש, כאשר הסכום מגלם את הנוף, הפרטיות, הגינה וצפיפות (סעיף ח.ד.).</w:t>
      </w:r>
      <w:r w:rsidR="00E10740">
        <w:rPr>
          <w:rFonts w:hint="cs"/>
          <w:rtl/>
        </w:rPr>
        <w:t xml:space="preserve"> המומחה העריך את שווי הנכס (לרבות זכויות בניה שאינן מנוצלות) בסך של 1,872,200 </w:t>
      </w:r>
      <w:r w:rsidR="00C54B5E">
        <w:rPr>
          <w:rFonts w:hint="cs"/>
          <w:rtl/>
        </w:rPr>
        <w:t>ש</w:t>
      </w:r>
      <w:r w:rsidR="00C54B5E">
        <w:rPr>
          <w:rtl/>
        </w:rPr>
        <w:t>"</w:t>
      </w:r>
      <w:r w:rsidR="00C54B5E">
        <w:rPr>
          <w:rFonts w:hint="cs"/>
          <w:rtl/>
        </w:rPr>
        <w:t>ח</w:t>
      </w:r>
      <w:r w:rsidR="00E10740">
        <w:rPr>
          <w:rFonts w:hint="cs"/>
          <w:rtl/>
        </w:rPr>
        <w:t xml:space="preserve"> (סעיף 1).</w:t>
      </w:r>
    </w:p>
    <w:p w:rsidR="00157F49" w:rsidRDefault="00E10740" w:rsidP="0024794B">
      <w:pPr>
        <w:pStyle w:val="ae"/>
        <w:numPr>
          <w:ilvl w:val="0"/>
          <w:numId w:val="2"/>
        </w:numPr>
        <w:spacing w:after="120" w:line="360" w:lineRule="auto"/>
        <w:ind w:left="567" w:hanging="567"/>
        <w:contextualSpacing w:val="0"/>
        <w:jc w:val="both"/>
      </w:pPr>
      <w:r>
        <w:rPr>
          <w:rFonts w:hint="cs"/>
          <w:rtl/>
        </w:rPr>
        <w:t>המומחה סבר ש</w:t>
      </w:r>
      <w:r w:rsidRPr="00046A3D">
        <w:rPr>
          <w:rFonts w:hint="cs"/>
          <w:b/>
          <w:bCs/>
          <w:rtl/>
        </w:rPr>
        <w:t>לא בוצעו שיפוצים השבח</w:t>
      </w:r>
      <w:r w:rsidR="0024794B" w:rsidRPr="00046A3D">
        <w:rPr>
          <w:rFonts w:hint="cs"/>
          <w:b/>
          <w:bCs/>
          <w:rtl/>
        </w:rPr>
        <w:t>ות או הרחבות למבנה ממועד בנייתו</w:t>
      </w:r>
      <w:r w:rsidRPr="00046A3D">
        <w:rPr>
          <w:rFonts w:hint="cs"/>
          <w:b/>
          <w:bCs/>
          <w:rtl/>
        </w:rPr>
        <w:t xml:space="preserve"> </w:t>
      </w:r>
      <w:r>
        <w:rPr>
          <w:rFonts w:hint="cs"/>
          <w:rtl/>
        </w:rPr>
        <w:t>(סעיף 5).</w:t>
      </w:r>
      <w:r w:rsidR="00157F49">
        <w:rPr>
          <w:rFonts w:hint="cs"/>
          <w:rtl/>
        </w:rPr>
        <w:t xml:space="preserve"> </w:t>
      </w:r>
    </w:p>
    <w:p w:rsidR="00024FA8" w:rsidRDefault="00720BF5" w:rsidP="002C100A">
      <w:pPr>
        <w:spacing w:after="120" w:line="360" w:lineRule="auto"/>
        <w:ind w:left="567" w:hanging="567"/>
        <w:jc w:val="both"/>
        <w:rPr>
          <w:b/>
          <w:bCs/>
          <w:u w:val="single"/>
          <w:rtl/>
        </w:rPr>
      </w:pPr>
      <w:r w:rsidRPr="00720BF5">
        <w:rPr>
          <w:rFonts w:hint="cs"/>
          <w:b/>
          <w:bCs/>
          <w:rtl/>
        </w:rPr>
        <w:t>א.</w:t>
      </w:r>
      <w:r>
        <w:rPr>
          <w:rFonts w:hint="cs"/>
          <w:b/>
          <w:bCs/>
          <w:rtl/>
        </w:rPr>
        <w:t>3</w:t>
      </w:r>
      <w:r w:rsidRPr="00720BF5">
        <w:rPr>
          <w:rFonts w:hint="cs"/>
          <w:b/>
          <w:bCs/>
          <w:rtl/>
        </w:rPr>
        <w:t xml:space="preserve">. </w:t>
      </w:r>
      <w:r w:rsidRPr="00720BF5">
        <w:rPr>
          <w:b/>
          <w:bCs/>
          <w:rtl/>
        </w:rPr>
        <w:tab/>
      </w:r>
      <w:r w:rsidR="002C100A">
        <w:rPr>
          <w:rFonts w:hint="cs"/>
          <w:b/>
          <w:bCs/>
          <w:u w:val="single"/>
          <w:rtl/>
        </w:rPr>
        <w:t xml:space="preserve">מינוי אקטואר מומחה והגשת </w:t>
      </w:r>
      <w:r w:rsidR="00024FA8" w:rsidRPr="00024FA8">
        <w:rPr>
          <w:rFonts w:hint="cs"/>
          <w:b/>
          <w:bCs/>
          <w:u w:val="single"/>
          <w:rtl/>
        </w:rPr>
        <w:t>חוות דעת</w:t>
      </w:r>
      <w:r w:rsidR="002C100A">
        <w:rPr>
          <w:rFonts w:hint="cs"/>
          <w:b/>
          <w:bCs/>
          <w:u w:val="single"/>
          <w:rtl/>
        </w:rPr>
        <w:t>ו</w:t>
      </w:r>
      <w:r w:rsidR="00024FA8" w:rsidRPr="00024FA8">
        <w:rPr>
          <w:rFonts w:hint="cs"/>
          <w:b/>
          <w:bCs/>
          <w:u w:val="single"/>
          <w:rtl/>
        </w:rPr>
        <w:t xml:space="preserve"> </w:t>
      </w:r>
    </w:p>
    <w:p w:rsidR="00BD0682" w:rsidRDefault="00BD0682" w:rsidP="00393AB5">
      <w:pPr>
        <w:pStyle w:val="ae"/>
        <w:numPr>
          <w:ilvl w:val="0"/>
          <w:numId w:val="2"/>
        </w:numPr>
        <w:spacing w:after="120" w:line="360" w:lineRule="auto"/>
        <w:ind w:left="567" w:hanging="567"/>
        <w:contextualSpacing w:val="0"/>
        <w:jc w:val="both"/>
      </w:pPr>
      <w:r>
        <w:rPr>
          <w:rFonts w:hint="cs"/>
          <w:rtl/>
        </w:rPr>
        <w:t>ב</w:t>
      </w:r>
      <w:r w:rsidRPr="00F34CA2">
        <w:rPr>
          <w:rFonts w:hint="cs"/>
          <w:rtl/>
        </w:rPr>
        <w:t>יום 18.11.2021 מונה שמאי כמומחה מטעם בית ה</w:t>
      </w:r>
      <w:r w:rsidRPr="00BD0682">
        <w:rPr>
          <w:rFonts w:hint="cs"/>
          <w:rtl/>
        </w:rPr>
        <w:t>משפט</w:t>
      </w:r>
      <w:r>
        <w:rPr>
          <w:rFonts w:hint="cs"/>
          <w:rtl/>
        </w:rPr>
        <w:t xml:space="preserve">. ביום 8.6.202 הוגשה חוות דעתו של האקטואר. המומחה בחן את היקף הזכויות שנצברו ממועד נישואי הצדדים - 13.7.2002 ועד למועד הקרע המוסכם </w:t>
      </w:r>
      <w:r w:rsidR="00393AB5">
        <w:rPr>
          <w:rFonts w:hint="cs"/>
          <w:rtl/>
        </w:rPr>
        <w:t>-</w:t>
      </w:r>
      <w:r>
        <w:rPr>
          <w:rFonts w:hint="cs"/>
          <w:rtl/>
        </w:rPr>
        <w:t xml:space="preserve"> 26.10.2020. המחלוקת בענין יתרת הכספים בחשבון הבנק </w:t>
      </w:r>
      <w:r w:rsidR="00393AB5">
        <w:rPr>
          <w:rFonts w:hint="cs"/>
          <w:rtl/>
        </w:rPr>
        <w:t xml:space="preserve">של האישה </w:t>
      </w:r>
      <w:r>
        <w:rPr>
          <w:rFonts w:hint="cs"/>
          <w:rtl/>
        </w:rPr>
        <w:t xml:space="preserve">לא נבחנה על ידי המומחה וחוות הדעת לא מתייחסת לכך (סעיף ו'). </w:t>
      </w:r>
    </w:p>
    <w:p w:rsidR="00BD0682" w:rsidRPr="00BD0682" w:rsidRDefault="00BD0682" w:rsidP="00BD0682">
      <w:pPr>
        <w:pStyle w:val="ae"/>
        <w:numPr>
          <w:ilvl w:val="0"/>
          <w:numId w:val="2"/>
        </w:numPr>
        <w:spacing w:after="120" w:line="360" w:lineRule="auto"/>
        <w:ind w:left="567" w:hanging="567"/>
        <w:contextualSpacing w:val="0"/>
        <w:jc w:val="both"/>
        <w:rPr>
          <w:rtl/>
        </w:rPr>
      </w:pPr>
      <w:r>
        <w:rPr>
          <w:rFonts w:hint="cs"/>
          <w:rtl/>
        </w:rPr>
        <w:t xml:space="preserve">המומחה בחן את היקף כל הזכויות שכל צד צבר במהלך התקופה האמורה וקבע, כי בחלופה של איזון זכויות הצדדים על בסיס ערכן הנוכחי על האיש להעביר לאישה סך של 163,302 </w:t>
      </w:r>
      <w:r w:rsidR="00C54B5E">
        <w:rPr>
          <w:rFonts w:hint="cs"/>
          <w:rtl/>
        </w:rPr>
        <w:t>ש</w:t>
      </w:r>
      <w:r w:rsidR="00C54B5E">
        <w:rPr>
          <w:rtl/>
        </w:rPr>
        <w:t>"</w:t>
      </w:r>
      <w:r w:rsidR="00C54B5E">
        <w:rPr>
          <w:rFonts w:hint="cs"/>
          <w:rtl/>
        </w:rPr>
        <w:t>ח</w:t>
      </w:r>
      <w:r>
        <w:rPr>
          <w:rFonts w:hint="cs"/>
          <w:rtl/>
        </w:rPr>
        <w:t xml:space="preserve"> לאיזון עודף של זכויותיו ובחלופה של איזון זכויות בעת מימושן וקבלתן בפועל על האיש להעביר לאישה כיום סך של 7,796 </w:t>
      </w:r>
      <w:r w:rsidR="00C54B5E">
        <w:rPr>
          <w:rFonts w:hint="cs"/>
          <w:rtl/>
        </w:rPr>
        <w:t>ש</w:t>
      </w:r>
      <w:r w:rsidR="00C54B5E">
        <w:rPr>
          <w:rtl/>
        </w:rPr>
        <w:t>"</w:t>
      </w:r>
      <w:r w:rsidR="00C54B5E">
        <w:rPr>
          <w:rFonts w:hint="cs"/>
          <w:rtl/>
        </w:rPr>
        <w:t>ח</w:t>
      </w:r>
      <w:r>
        <w:rPr>
          <w:rFonts w:hint="cs"/>
          <w:rtl/>
        </w:rPr>
        <w:t xml:space="preserve"> ו</w:t>
      </w:r>
      <w:r w:rsidR="00C348CC">
        <w:rPr>
          <w:rFonts w:hint="cs"/>
          <w:rtl/>
        </w:rPr>
        <w:t xml:space="preserve">כן תרשם הערה על העברת זכויות פנסיוניות של האיש בשיעור של 36.73% מהזכויות הצבורות לו כחוסך בקרן הפנסיה. </w:t>
      </w:r>
    </w:p>
    <w:p w:rsidR="00720BF5" w:rsidRDefault="00024FA8" w:rsidP="00720BF5">
      <w:pPr>
        <w:spacing w:after="120" w:line="360" w:lineRule="auto"/>
        <w:ind w:left="567" w:hanging="567"/>
        <w:jc w:val="both"/>
        <w:rPr>
          <w:b/>
          <w:bCs/>
          <w:u w:val="single"/>
          <w:rtl/>
        </w:rPr>
      </w:pPr>
      <w:r>
        <w:rPr>
          <w:rFonts w:hint="cs"/>
          <w:b/>
          <w:bCs/>
          <w:rtl/>
        </w:rPr>
        <w:t>א.4.</w:t>
      </w:r>
      <w:r>
        <w:rPr>
          <w:rFonts w:hint="cs"/>
          <w:b/>
          <w:bCs/>
          <w:rtl/>
        </w:rPr>
        <w:tab/>
      </w:r>
      <w:r w:rsidR="00720BF5">
        <w:rPr>
          <w:rFonts w:hint="cs"/>
          <w:b/>
          <w:bCs/>
          <w:u w:val="single"/>
          <w:rtl/>
        </w:rPr>
        <w:t xml:space="preserve">סדרי בירור ההליך </w:t>
      </w:r>
      <w:r w:rsidR="00682180">
        <w:rPr>
          <w:rFonts w:hint="cs"/>
          <w:b/>
          <w:bCs/>
          <w:u w:val="single"/>
          <w:rtl/>
        </w:rPr>
        <w:t>ופירוט ראיות מרכזיות שהוגשו</w:t>
      </w:r>
    </w:p>
    <w:p w:rsidR="00393AB5" w:rsidRDefault="00720BF5" w:rsidP="00741F84">
      <w:pPr>
        <w:pStyle w:val="ae"/>
        <w:numPr>
          <w:ilvl w:val="0"/>
          <w:numId w:val="2"/>
        </w:numPr>
        <w:spacing w:after="120" w:line="360" w:lineRule="auto"/>
        <w:ind w:left="567" w:hanging="567"/>
        <w:contextualSpacing w:val="0"/>
        <w:jc w:val="both"/>
      </w:pPr>
      <w:r>
        <w:rPr>
          <w:rFonts w:hint="cs"/>
          <w:rtl/>
        </w:rPr>
        <w:t xml:space="preserve">האיש והאב הגישו תצהיר עדות ראשית ביום 14.4.2022 ושבו על הטענות כמפורט בכתבי הטענות מטעמם. </w:t>
      </w:r>
      <w:r w:rsidR="0021031B">
        <w:rPr>
          <w:rFonts w:hint="cs"/>
          <w:rtl/>
        </w:rPr>
        <w:t xml:space="preserve">בנוסף הוגש תצהירו של מר </w:t>
      </w:r>
      <w:r w:rsidR="00741F84">
        <w:rPr>
          <w:rFonts w:hint="cs"/>
          <w:rtl/>
        </w:rPr>
        <w:t>ק'</w:t>
      </w:r>
      <w:r w:rsidR="00393AB5">
        <w:rPr>
          <w:rFonts w:hint="cs"/>
          <w:rtl/>
        </w:rPr>
        <w:t>, מעסיקו של האב,</w:t>
      </w:r>
      <w:r w:rsidR="0021031B">
        <w:rPr>
          <w:rFonts w:hint="cs"/>
          <w:rtl/>
        </w:rPr>
        <w:t xml:space="preserve"> אשר העיד, כי האב היה מסיע פועלים מהשטחים למקומות עבודה שונים מנקודות איסוף ו</w:t>
      </w:r>
      <w:r w:rsidR="00410EF1">
        <w:rPr>
          <w:rFonts w:hint="cs"/>
          <w:rtl/>
        </w:rPr>
        <w:t xml:space="preserve">חזרה ואת דמי ההסעה היה האב גובה מאת הפועלים. </w:t>
      </w:r>
    </w:p>
    <w:p w:rsidR="00393AB5" w:rsidRDefault="00410EF1" w:rsidP="00741F84">
      <w:pPr>
        <w:pStyle w:val="ae"/>
        <w:spacing w:after="120" w:line="360" w:lineRule="auto"/>
        <w:ind w:left="567"/>
        <w:contextualSpacing w:val="0"/>
        <w:jc w:val="both"/>
        <w:rPr>
          <w:rtl/>
        </w:rPr>
      </w:pPr>
      <w:r>
        <w:rPr>
          <w:rFonts w:hint="cs"/>
          <w:rtl/>
        </w:rPr>
        <w:lastRenderedPageBreak/>
        <w:t>עוד הצהיר מר ק</w:t>
      </w:r>
      <w:r w:rsidR="00741F84">
        <w:rPr>
          <w:rFonts w:hint="cs"/>
          <w:rtl/>
        </w:rPr>
        <w:t>'</w:t>
      </w:r>
      <w:r>
        <w:rPr>
          <w:rFonts w:hint="cs"/>
          <w:rtl/>
        </w:rPr>
        <w:t>, כי משך שנים היה נהוג כי תשלום לעובדים פלסטינים משולמים לצד ג' כדי</w:t>
      </w:r>
      <w:r w:rsidR="00393AB5">
        <w:rPr>
          <w:rFonts w:hint="cs"/>
          <w:rtl/>
        </w:rPr>
        <w:t xml:space="preserve"> </w:t>
      </w:r>
      <w:r>
        <w:rPr>
          <w:rFonts w:hint="cs"/>
          <w:rtl/>
        </w:rPr>
        <w:t xml:space="preserve">להמנע מהפקדת המשכורת. במסגרת הזו נוצרו יחסי אמון בין העובדים לבין האב אשר היה מפקיד את ההמחאה עבור שכר העבודה, מנכה את דמי הנסיעה ומשלם לעובדים את היתרה. </w:t>
      </w:r>
    </w:p>
    <w:p w:rsidR="00720BF5" w:rsidRDefault="00C006C5" w:rsidP="00741F84">
      <w:pPr>
        <w:pStyle w:val="ae"/>
        <w:spacing w:after="120" w:line="360" w:lineRule="auto"/>
        <w:ind w:left="567"/>
        <w:contextualSpacing w:val="0"/>
        <w:jc w:val="both"/>
      </w:pPr>
      <w:r>
        <w:rPr>
          <w:rFonts w:hint="cs"/>
          <w:rtl/>
        </w:rPr>
        <w:t>מר ק</w:t>
      </w:r>
      <w:r w:rsidR="00741F84">
        <w:rPr>
          <w:rFonts w:hint="cs"/>
          <w:rtl/>
        </w:rPr>
        <w:t>'</w:t>
      </w:r>
      <w:r>
        <w:rPr>
          <w:rFonts w:hint="cs"/>
          <w:rtl/>
        </w:rPr>
        <w:t xml:space="preserve"> הצהיר, כי האיש לא היה חלק מהסידור האמור, וכי לא עבד בהסעת פועלים. </w:t>
      </w:r>
    </w:p>
    <w:p w:rsidR="0024794B" w:rsidRDefault="0024794B" w:rsidP="00741F84">
      <w:pPr>
        <w:pStyle w:val="ae"/>
        <w:numPr>
          <w:ilvl w:val="0"/>
          <w:numId w:val="2"/>
        </w:numPr>
        <w:spacing w:after="120" w:line="360" w:lineRule="auto"/>
        <w:ind w:left="567" w:hanging="567"/>
        <w:contextualSpacing w:val="0"/>
        <w:jc w:val="both"/>
      </w:pPr>
      <w:r>
        <w:rPr>
          <w:rFonts w:hint="cs"/>
          <w:rtl/>
        </w:rPr>
        <w:t xml:space="preserve">האישה הגישה תצהירי עדות ראשית ביום 4.5.2022. </w:t>
      </w:r>
      <w:r w:rsidR="00682180">
        <w:rPr>
          <w:rFonts w:hint="cs"/>
          <w:rtl/>
        </w:rPr>
        <w:t>אליו צורפו החלטת בית הדין ה</w:t>
      </w:r>
      <w:r w:rsidR="00741F84">
        <w:rPr>
          <w:rFonts w:hint="cs"/>
          <w:rtl/>
        </w:rPr>
        <w:t>-----</w:t>
      </w:r>
      <w:r w:rsidR="00682180">
        <w:rPr>
          <w:rFonts w:hint="cs"/>
          <w:rtl/>
        </w:rPr>
        <w:t>בענין חיוב במזונות, נסח רישום זכויות במקרקעין ותדפיס תנועות בחשבון הבנק.</w:t>
      </w:r>
    </w:p>
    <w:p w:rsidR="00682180" w:rsidRDefault="00682180" w:rsidP="00741F84">
      <w:pPr>
        <w:pStyle w:val="ae"/>
        <w:spacing w:after="120" w:line="360" w:lineRule="auto"/>
        <w:ind w:left="567"/>
        <w:contextualSpacing w:val="0"/>
        <w:jc w:val="both"/>
        <w:rPr>
          <w:rtl/>
        </w:rPr>
      </w:pPr>
      <w:r>
        <w:rPr>
          <w:rFonts w:hint="cs"/>
          <w:rtl/>
        </w:rPr>
        <w:t>בנוסף הגישה האישה תצהיר של אחיה</w:t>
      </w:r>
      <w:r w:rsidR="00393AB5">
        <w:rPr>
          <w:rFonts w:hint="cs"/>
          <w:rtl/>
        </w:rPr>
        <w:t>,</w:t>
      </w:r>
      <w:r>
        <w:rPr>
          <w:rFonts w:hint="cs"/>
          <w:rtl/>
        </w:rPr>
        <w:t xml:space="preserve"> מר </w:t>
      </w:r>
      <w:r w:rsidR="00741F84">
        <w:rPr>
          <w:rFonts w:hint="cs"/>
          <w:rtl/>
        </w:rPr>
        <w:t>ב'</w:t>
      </w:r>
      <w:r w:rsidR="00393AB5">
        <w:rPr>
          <w:rFonts w:hint="cs"/>
          <w:rtl/>
        </w:rPr>
        <w:t>,</w:t>
      </w:r>
      <w:r>
        <w:rPr>
          <w:rFonts w:hint="cs"/>
          <w:rtl/>
        </w:rPr>
        <w:t xml:space="preserve"> אשר הצהיר שביקר פעמים רבות בבית הצדדים ו"ברור כשמש שזה הבית ששייך לשניהם"</w:t>
      </w:r>
      <w:r w:rsidR="0021031B">
        <w:rPr>
          <w:rFonts w:hint="cs"/>
          <w:rtl/>
        </w:rPr>
        <w:t xml:space="preserve"> וכי האיש הביא את הבית לנישואין כמקובל ונהוג; תצהיר של דודה אשר שימש כאב לאישה וממנו ביקשו את ידה של האישה תוך שבעצם הצעת החתונה הצהירו האיש והאב כי הנכס שייך לאיש ומהווה תנאי לחתונה; תצהיר של חברה קרובה אשר הצהירה כי הצדדים נהגו בבית מנהג בעלים וכן תצהיר של אחותה של האישה שהצהירה שכחלק מתנאי החתונה הצהירה איש כי ברשותו בית כמעט מושלם. </w:t>
      </w:r>
    </w:p>
    <w:p w:rsidR="00C348CC" w:rsidRDefault="00C348CC" w:rsidP="00741F84">
      <w:pPr>
        <w:pStyle w:val="ae"/>
        <w:numPr>
          <w:ilvl w:val="0"/>
          <w:numId w:val="2"/>
        </w:numPr>
        <w:spacing w:after="120" w:line="360" w:lineRule="auto"/>
        <w:ind w:left="567" w:hanging="567"/>
        <w:contextualSpacing w:val="0"/>
        <w:jc w:val="both"/>
      </w:pPr>
      <w:r>
        <w:rPr>
          <w:rFonts w:hint="cs"/>
          <w:rtl/>
        </w:rPr>
        <w:t>ביום 23.6.2022 נשמעו העדויות, למעט עדותו של מר ק</w:t>
      </w:r>
      <w:r w:rsidR="00741F84">
        <w:rPr>
          <w:rFonts w:hint="cs"/>
          <w:rtl/>
        </w:rPr>
        <w:t>'</w:t>
      </w:r>
      <w:r>
        <w:rPr>
          <w:rFonts w:hint="cs"/>
          <w:rtl/>
        </w:rPr>
        <w:t xml:space="preserve">. </w:t>
      </w:r>
    </w:p>
    <w:p w:rsidR="00F1773F" w:rsidRDefault="00F1773F" w:rsidP="00741F84">
      <w:pPr>
        <w:pStyle w:val="ae"/>
        <w:spacing w:after="120" w:line="360" w:lineRule="auto"/>
        <w:ind w:left="567"/>
        <w:contextualSpacing w:val="0"/>
        <w:jc w:val="both"/>
        <w:rPr>
          <w:rtl/>
        </w:rPr>
      </w:pPr>
      <w:r>
        <w:rPr>
          <w:rFonts w:hint="cs"/>
          <w:rtl/>
        </w:rPr>
        <w:t>מר ק</w:t>
      </w:r>
      <w:r w:rsidR="00741F84">
        <w:rPr>
          <w:rFonts w:hint="cs"/>
          <w:rtl/>
        </w:rPr>
        <w:t>'</w:t>
      </w:r>
      <w:r>
        <w:rPr>
          <w:rFonts w:hint="cs"/>
          <w:rtl/>
        </w:rPr>
        <w:t xml:space="preserve"> נחקר ביום 29.11.2022.</w:t>
      </w:r>
    </w:p>
    <w:p w:rsidR="00F1773F" w:rsidRDefault="00F1773F" w:rsidP="00F1773F">
      <w:pPr>
        <w:pStyle w:val="ae"/>
        <w:numPr>
          <w:ilvl w:val="0"/>
          <w:numId w:val="2"/>
        </w:numPr>
        <w:spacing w:after="120" w:line="360" w:lineRule="auto"/>
        <w:ind w:left="567" w:hanging="567"/>
        <w:contextualSpacing w:val="0"/>
        <w:jc w:val="both"/>
      </w:pPr>
      <w:r>
        <w:rPr>
          <w:rFonts w:hint="cs"/>
          <w:rtl/>
        </w:rPr>
        <w:t xml:space="preserve">סיכומי הצדדים הוגשו ביום 6.3.2023 וביום 6.6.2023 ועל כן בשל ההליך להכרעה. </w:t>
      </w:r>
    </w:p>
    <w:p w:rsidR="0013528A" w:rsidRDefault="0013528A" w:rsidP="0013528A">
      <w:pPr>
        <w:spacing w:after="120" w:line="360" w:lineRule="auto"/>
        <w:ind w:left="567" w:hanging="567"/>
        <w:jc w:val="both"/>
        <w:rPr>
          <w:b/>
          <w:bCs/>
          <w:u w:val="single"/>
          <w:rtl/>
        </w:rPr>
      </w:pPr>
      <w:r w:rsidRPr="0013528A">
        <w:rPr>
          <w:rFonts w:hint="cs"/>
          <w:b/>
          <w:bCs/>
          <w:rtl/>
        </w:rPr>
        <w:t xml:space="preserve">א.5. </w:t>
      </w:r>
      <w:r w:rsidRPr="0013528A">
        <w:rPr>
          <w:b/>
          <w:bCs/>
          <w:rtl/>
        </w:rPr>
        <w:tab/>
      </w:r>
      <w:r w:rsidRPr="0013528A">
        <w:rPr>
          <w:rFonts w:hint="cs"/>
          <w:b/>
          <w:bCs/>
          <w:u w:val="single"/>
          <w:rtl/>
        </w:rPr>
        <w:t>דיון והכרעה</w:t>
      </w:r>
    </w:p>
    <w:p w:rsidR="009605A4" w:rsidRDefault="0013528A" w:rsidP="0013528A">
      <w:pPr>
        <w:spacing w:after="120" w:line="360" w:lineRule="auto"/>
        <w:ind w:left="567" w:hanging="567"/>
        <w:jc w:val="both"/>
        <w:rPr>
          <w:b/>
          <w:bCs/>
          <w:u w:val="single"/>
          <w:rtl/>
        </w:rPr>
      </w:pPr>
      <w:r w:rsidRPr="007C070F">
        <w:rPr>
          <w:rFonts w:hint="cs"/>
          <w:b/>
          <w:bCs/>
          <w:rtl/>
        </w:rPr>
        <w:t>א.</w:t>
      </w:r>
      <w:r w:rsidR="007C070F" w:rsidRPr="007C070F">
        <w:rPr>
          <w:rFonts w:hint="cs"/>
          <w:b/>
          <w:bCs/>
          <w:rtl/>
        </w:rPr>
        <w:t>1.5.</w:t>
      </w:r>
      <w:r w:rsidR="007C070F" w:rsidRPr="007C070F">
        <w:rPr>
          <w:rFonts w:hint="cs"/>
          <w:b/>
          <w:bCs/>
          <w:rtl/>
        </w:rPr>
        <w:tab/>
      </w:r>
      <w:r w:rsidR="007C070F" w:rsidRPr="007C070F">
        <w:rPr>
          <w:b/>
          <w:bCs/>
          <w:rtl/>
        </w:rPr>
        <w:tab/>
      </w:r>
      <w:r w:rsidR="009605A4">
        <w:rPr>
          <w:rFonts w:hint="cs"/>
          <w:b/>
          <w:bCs/>
          <w:u w:val="single"/>
          <w:rtl/>
        </w:rPr>
        <w:t>זכויותיה של האישה בנכס המקרקעין</w:t>
      </w:r>
    </w:p>
    <w:p w:rsidR="00016167" w:rsidRDefault="00016167" w:rsidP="00A53E83">
      <w:pPr>
        <w:pStyle w:val="ae"/>
        <w:numPr>
          <w:ilvl w:val="0"/>
          <w:numId w:val="2"/>
        </w:numPr>
        <w:spacing w:after="120" w:line="360" w:lineRule="auto"/>
        <w:ind w:left="567" w:hanging="567"/>
        <w:contextualSpacing w:val="0"/>
        <w:jc w:val="both"/>
      </w:pPr>
      <w:r>
        <w:rPr>
          <w:rFonts w:hint="cs"/>
          <w:rtl/>
        </w:rPr>
        <w:t>למעשה בפי האישה שתי טענות בכל הנוגע לנכס המקרקעין:</w:t>
      </w:r>
    </w:p>
    <w:p w:rsidR="007C070F" w:rsidRDefault="00A53E83" w:rsidP="00016167">
      <w:pPr>
        <w:pStyle w:val="ae"/>
        <w:spacing w:after="120" w:line="360" w:lineRule="auto"/>
        <w:ind w:left="567"/>
        <w:contextualSpacing w:val="0"/>
        <w:jc w:val="both"/>
      </w:pPr>
      <w:r w:rsidRPr="00016167">
        <w:rPr>
          <w:rFonts w:hint="cs"/>
          <w:b/>
          <w:bCs/>
          <w:rtl/>
        </w:rPr>
        <w:t>הטענה הראשונה</w:t>
      </w:r>
      <w:r w:rsidR="00016167">
        <w:rPr>
          <w:rFonts w:hint="cs"/>
          <w:rtl/>
        </w:rPr>
        <w:t xml:space="preserve"> -</w:t>
      </w:r>
      <w:r w:rsidR="007C070F">
        <w:rPr>
          <w:rFonts w:hint="cs"/>
          <w:rtl/>
        </w:rPr>
        <w:t xml:space="preserve"> נכס המקרקעין נבנה לצרכי הצדדים טרם מועד הנשואין וכי הזכויות הקנייניות של האיש והאישה נובעות מכך שהנכס נבנה ויועד </w:t>
      </w:r>
      <w:r w:rsidR="004251DC">
        <w:rPr>
          <w:rFonts w:hint="cs"/>
          <w:rtl/>
        </w:rPr>
        <w:t>להם כבר במועד ה</w:t>
      </w:r>
      <w:r w:rsidR="007C070F">
        <w:rPr>
          <w:rFonts w:hint="cs"/>
          <w:rtl/>
        </w:rPr>
        <w:t>א</w:t>
      </w:r>
      <w:r w:rsidR="004251DC">
        <w:rPr>
          <w:rFonts w:hint="cs"/>
          <w:rtl/>
        </w:rPr>
        <w:t>י</w:t>
      </w:r>
      <w:r w:rsidR="007C070F">
        <w:rPr>
          <w:rFonts w:hint="cs"/>
          <w:rtl/>
        </w:rPr>
        <w:t>רוסין</w:t>
      </w:r>
      <w:r>
        <w:rPr>
          <w:rFonts w:hint="cs"/>
          <w:rtl/>
        </w:rPr>
        <w:t xml:space="preserve"> (כך נטען בכתב התביעה)</w:t>
      </w:r>
      <w:r w:rsidR="007C070F">
        <w:rPr>
          <w:rFonts w:hint="cs"/>
          <w:rtl/>
        </w:rPr>
        <w:t xml:space="preserve">. </w:t>
      </w:r>
    </w:p>
    <w:p w:rsidR="00A53E83" w:rsidRDefault="00A53E83" w:rsidP="001249A7">
      <w:pPr>
        <w:pStyle w:val="ae"/>
        <w:spacing w:after="120" w:line="360" w:lineRule="auto"/>
        <w:ind w:left="567"/>
        <w:contextualSpacing w:val="0"/>
        <w:jc w:val="both"/>
        <w:rPr>
          <w:rtl/>
        </w:rPr>
      </w:pPr>
      <w:r w:rsidRPr="00016167">
        <w:rPr>
          <w:rFonts w:hint="cs"/>
          <w:b/>
          <w:bCs/>
          <w:rtl/>
        </w:rPr>
        <w:t>לחלופין טענה האישה</w:t>
      </w:r>
      <w:r w:rsidR="00016167" w:rsidRPr="00016167">
        <w:rPr>
          <w:rFonts w:hint="cs"/>
          <w:b/>
          <w:bCs/>
          <w:rtl/>
        </w:rPr>
        <w:t xml:space="preserve"> טענה נוספת, הטענה השניה</w:t>
      </w:r>
      <w:r w:rsidR="00016167">
        <w:rPr>
          <w:rFonts w:hint="cs"/>
          <w:rtl/>
        </w:rPr>
        <w:t xml:space="preserve"> -</w:t>
      </w:r>
      <w:r>
        <w:rPr>
          <w:rFonts w:hint="cs"/>
          <w:rtl/>
        </w:rPr>
        <w:t xml:space="preserve"> גם אם מדובר בנכס חיצוני,</w:t>
      </w:r>
      <w:r w:rsidR="002C100A">
        <w:rPr>
          <w:rFonts w:hint="cs"/>
          <w:rtl/>
        </w:rPr>
        <w:t xml:space="preserve"> שקדם למועד הני</w:t>
      </w:r>
      <w:r w:rsidR="00E66899">
        <w:rPr>
          <w:rFonts w:hint="cs"/>
          <w:rtl/>
        </w:rPr>
        <w:t>ש</w:t>
      </w:r>
      <w:r w:rsidR="002C100A">
        <w:rPr>
          <w:rFonts w:hint="cs"/>
          <w:rtl/>
        </w:rPr>
        <w:t>ו</w:t>
      </w:r>
      <w:r w:rsidR="00E66899">
        <w:rPr>
          <w:rFonts w:hint="cs"/>
          <w:rtl/>
        </w:rPr>
        <w:t xml:space="preserve">אין, מאחר ומדובר בדירת מגורים בה התגוררו הצדדים משך שנים רבות, בשל הולדת שלושה ילדים משותפים והתנהלות בבית כביתם של הצדדים משך 20 שנים וכן </w:t>
      </w:r>
      <w:r>
        <w:rPr>
          <w:rFonts w:hint="cs"/>
          <w:rtl/>
        </w:rPr>
        <w:t xml:space="preserve">בהסתמך על הנוהג בחברה המסורתית אליה משתייכים הצדדים, מתקיימת כוונת שיתוף ספציפית </w:t>
      </w:r>
      <w:r w:rsidR="00E66899">
        <w:rPr>
          <w:rFonts w:hint="cs"/>
          <w:rtl/>
        </w:rPr>
        <w:t xml:space="preserve">שדורשת רמת הוכחה נמוכה בשים לב לחלקה של האישה בעמל המשפחה כנהוג בחברה המסורתית וכן משיקולי צדק. </w:t>
      </w:r>
      <w:r>
        <w:rPr>
          <w:rFonts w:hint="cs"/>
          <w:rtl/>
        </w:rPr>
        <w:t xml:space="preserve"> </w:t>
      </w:r>
    </w:p>
    <w:p w:rsidR="00F23981" w:rsidRPr="00F23981" w:rsidRDefault="00F23981" w:rsidP="00F23981">
      <w:pPr>
        <w:spacing w:after="120" w:line="360" w:lineRule="auto"/>
        <w:jc w:val="both"/>
        <w:rPr>
          <w:b/>
          <w:bCs/>
          <w:rtl/>
        </w:rPr>
      </w:pPr>
      <w:r w:rsidRPr="00F23981">
        <w:rPr>
          <w:rFonts w:hint="cs"/>
          <w:b/>
          <w:bCs/>
          <w:rtl/>
        </w:rPr>
        <w:t xml:space="preserve">א.1.1.5 </w:t>
      </w:r>
      <w:r w:rsidRPr="00F23981">
        <w:rPr>
          <w:rFonts w:hint="cs"/>
          <w:b/>
          <w:bCs/>
          <w:u w:val="single"/>
          <w:rtl/>
        </w:rPr>
        <w:t>טענת האישה, כי הנכס נבנה ויועד לצדדים כבר במועד האירוסין</w:t>
      </w:r>
      <w:r w:rsidRPr="00F23981">
        <w:rPr>
          <w:rFonts w:hint="cs"/>
          <w:b/>
          <w:bCs/>
          <w:rtl/>
        </w:rPr>
        <w:t>:</w:t>
      </w:r>
    </w:p>
    <w:p w:rsidR="00947B81" w:rsidRDefault="00947B81" w:rsidP="00F23981">
      <w:pPr>
        <w:pStyle w:val="ae"/>
        <w:numPr>
          <w:ilvl w:val="0"/>
          <w:numId w:val="2"/>
        </w:numPr>
        <w:spacing w:after="120" w:line="360" w:lineRule="auto"/>
        <w:ind w:left="567" w:hanging="567"/>
        <w:contextualSpacing w:val="0"/>
        <w:jc w:val="both"/>
        <w:rPr>
          <w:rtl/>
        </w:rPr>
      </w:pPr>
      <w:r>
        <w:rPr>
          <w:rFonts w:hint="cs"/>
          <w:rtl/>
        </w:rPr>
        <w:lastRenderedPageBreak/>
        <w:t xml:space="preserve">כאמור, הזכויות בנכס רשומות על שם האב. רישום הזכויות בוצע בהסתמך על העברת הזכויות בהסכם מכר שנחתם בשנת 1987. </w:t>
      </w:r>
    </w:p>
    <w:p w:rsidR="00947B81" w:rsidRDefault="00947B81" w:rsidP="00741F84">
      <w:pPr>
        <w:spacing w:after="120" w:line="360" w:lineRule="auto"/>
        <w:ind w:left="567"/>
        <w:jc w:val="both"/>
        <w:rPr>
          <w:rtl/>
        </w:rPr>
      </w:pPr>
      <w:r>
        <w:rPr>
          <w:rFonts w:hint="cs"/>
          <w:rtl/>
        </w:rPr>
        <w:t xml:space="preserve">מהסכם המכר (נספח יג' לכתב ההגנה) עולה, כי במהלך שנת 1987 רכש האב, יחד עם ארבעה רוכשים נוספים את הזכויות בכל המגרש עליו בנוי הנכס מאת מר </w:t>
      </w:r>
      <w:r w:rsidR="00741F84">
        <w:rPr>
          <w:rFonts w:hint="cs"/>
          <w:rtl/>
        </w:rPr>
        <w:t>---------</w:t>
      </w:r>
      <w:r>
        <w:rPr>
          <w:rFonts w:hint="cs"/>
          <w:rtl/>
        </w:rPr>
        <w:t xml:space="preserve">. </w:t>
      </w:r>
    </w:p>
    <w:p w:rsidR="00947B81" w:rsidRDefault="00947B81" w:rsidP="00947B81">
      <w:pPr>
        <w:spacing w:after="120" w:line="360" w:lineRule="auto"/>
        <w:ind w:left="567"/>
        <w:jc w:val="both"/>
        <w:rPr>
          <w:rtl/>
        </w:rPr>
      </w:pPr>
      <w:r>
        <w:rPr>
          <w:rFonts w:hint="cs"/>
          <w:rtl/>
        </w:rPr>
        <w:t xml:space="preserve">מנסח הרישום שצורף לכתב ההגנה עולה, כי המוכר היה בעלים בנכס שנמכר בעסקה האמורה מכח פסק דין ובוצע רישום הזכויות מכח עסקת המכר ביום 22.9.2020. </w:t>
      </w:r>
    </w:p>
    <w:p w:rsidR="00947B81" w:rsidRPr="00EB67FB" w:rsidRDefault="00947B81" w:rsidP="002C100A">
      <w:pPr>
        <w:spacing w:after="120" w:line="360" w:lineRule="auto"/>
        <w:ind w:left="567"/>
        <w:jc w:val="both"/>
      </w:pPr>
      <w:r>
        <w:rPr>
          <w:rFonts w:hint="cs"/>
          <w:rtl/>
        </w:rPr>
        <w:t>עוד צורפו אישורי מיסים (מס שב</w:t>
      </w:r>
      <w:r w:rsidR="002C100A">
        <w:rPr>
          <w:rFonts w:hint="cs"/>
          <w:rtl/>
        </w:rPr>
        <w:t>ח</w:t>
      </w:r>
      <w:r>
        <w:rPr>
          <w:rFonts w:hint="cs"/>
          <w:rtl/>
        </w:rPr>
        <w:t xml:space="preserve"> ומס רכישה) מיום 24.11.2008 וכן שובר לתשלום מיסי הקרקע אשר הופקו בחודשים אפריל ויולי 2020 על שם האב וכן שטר המכר מידי המוכר לידי האב ויפוי כח בלתי חוזר שנועד להבצע את העברת הזכויות משנת 2005.</w:t>
      </w:r>
    </w:p>
    <w:p w:rsidR="00947B81" w:rsidRDefault="00947B81" w:rsidP="00947B81">
      <w:pPr>
        <w:spacing w:after="120" w:line="360" w:lineRule="auto"/>
        <w:ind w:left="567"/>
        <w:jc w:val="both"/>
        <w:rPr>
          <w:rtl/>
        </w:rPr>
      </w:pPr>
      <w:r>
        <w:rPr>
          <w:rFonts w:hint="cs"/>
          <w:rtl/>
        </w:rPr>
        <w:t xml:space="preserve">האישה אמנם טענה שהנכס היה רשום על שם האיש והועבר על שם אביו אולם מאישור המידע על זכויות במקרקעין שצורף לכתב ההגנה כנספח יב עולה, כי לא היו רשומים נכסים על שמו של האיש והעברת הזכויות על שם האב בוצעה מאת המוכר בהתאם להוראות הסכם המכר. </w:t>
      </w:r>
    </w:p>
    <w:p w:rsidR="006A04A2" w:rsidRDefault="006A04A2" w:rsidP="006A04A2">
      <w:pPr>
        <w:spacing w:after="120" w:line="360" w:lineRule="auto"/>
        <w:ind w:left="567"/>
        <w:jc w:val="both"/>
        <w:rPr>
          <w:rtl/>
        </w:rPr>
      </w:pPr>
      <w:r>
        <w:rPr>
          <w:rFonts w:hint="cs"/>
          <w:rtl/>
        </w:rPr>
        <w:t xml:space="preserve">האישה טענה כי האיש מופיע כבעלים בנסח רישום המקרקעין (סעיף 25 לכתב ההגנה בתביעה הכספית שהגיש האב), אך הדבר לא עולה מהמסמכים שצורפו על ידי הצדדים ואין תיעוד של רישום זכות בעלות של האיש </w:t>
      </w:r>
      <w:r w:rsidRPr="006A04A2">
        <w:rPr>
          <w:rFonts w:hint="cs"/>
          <w:b/>
          <w:bCs/>
          <w:rtl/>
        </w:rPr>
        <w:t>במרשם המקרקעין</w:t>
      </w:r>
      <w:r>
        <w:rPr>
          <w:rFonts w:hint="cs"/>
          <w:rtl/>
        </w:rPr>
        <w:t>.</w:t>
      </w:r>
      <w:r w:rsidR="00393AB5">
        <w:rPr>
          <w:rFonts w:hint="cs"/>
          <w:rtl/>
        </w:rPr>
        <w:t xml:space="preserve"> האישה לא הציגה נסח או תיעוד המוכיח בעלות המבסס את הטענה בדבר רישום הזכויות על שם האיש. </w:t>
      </w:r>
    </w:p>
    <w:p w:rsidR="00A363C9" w:rsidRDefault="00A363C9" w:rsidP="00947B81">
      <w:pPr>
        <w:spacing w:after="120" w:line="360" w:lineRule="auto"/>
        <w:ind w:left="567"/>
        <w:jc w:val="both"/>
        <w:rPr>
          <w:rtl/>
        </w:rPr>
      </w:pPr>
      <w:r>
        <w:rPr>
          <w:rFonts w:hint="cs"/>
          <w:rtl/>
        </w:rPr>
        <w:t xml:space="preserve">בנוסף, דודה של האישה אישר, בכתב, את הסכמתו לרישום זכויות האב בנכס בהתאם להוראות עסקת הרכישה לפי השטר המסדיר זאת </w:t>
      </w:r>
      <w:r w:rsidR="00793DA3">
        <w:rPr>
          <w:rFonts w:hint="cs"/>
          <w:rtl/>
        </w:rPr>
        <w:t>(כתב ההסכמה צורף לתצהיר המשלים שהוגש ביום 1.6.2022).</w:t>
      </w:r>
    </w:p>
    <w:p w:rsidR="00F23981" w:rsidRPr="00F23981" w:rsidRDefault="00F23981" w:rsidP="00F23981">
      <w:pPr>
        <w:pStyle w:val="ae"/>
        <w:numPr>
          <w:ilvl w:val="0"/>
          <w:numId w:val="2"/>
        </w:numPr>
        <w:spacing w:after="120" w:line="360" w:lineRule="auto"/>
        <w:ind w:left="567" w:hanging="567"/>
        <w:contextualSpacing w:val="0"/>
        <w:jc w:val="both"/>
        <w:rPr>
          <w:rFonts w:ascii="David" w:hAnsi="David"/>
        </w:rPr>
      </w:pPr>
      <w:r w:rsidRPr="00F23981">
        <w:rPr>
          <w:rFonts w:ascii="David" w:hAnsi="David"/>
          <w:rtl/>
        </w:rPr>
        <w:t xml:space="preserve">סעיף 125 </w:t>
      </w:r>
      <w:r w:rsidRPr="00F23981">
        <w:rPr>
          <w:rFonts w:ascii="David" w:hAnsi="David"/>
          <w:u w:val="single"/>
          <w:rtl/>
        </w:rPr>
        <w:t>לחוק המקרקעין</w:t>
      </w:r>
      <w:r w:rsidRPr="00F23981">
        <w:rPr>
          <w:rFonts w:ascii="David" w:hAnsi="David"/>
          <w:rtl/>
        </w:rPr>
        <w:t>, תשכ"ט-1969 (</w:t>
      </w:r>
      <w:r w:rsidRPr="00F23981">
        <w:rPr>
          <w:rFonts w:ascii="David" w:hAnsi="David"/>
          <w:b/>
          <w:bCs/>
          <w:rtl/>
        </w:rPr>
        <w:t>"חוק המקרקעין"</w:t>
      </w:r>
      <w:r w:rsidRPr="00F23981">
        <w:rPr>
          <w:rFonts w:ascii="David" w:hAnsi="David"/>
          <w:rtl/>
        </w:rPr>
        <w:t xml:space="preserve">) קובע, כי רישום לגבי מקרקעין מוסדרים יהווה ראיה חותכת לתוכנו. </w:t>
      </w:r>
    </w:p>
    <w:p w:rsidR="00F23981" w:rsidRDefault="00F23981" w:rsidP="00F23981">
      <w:pPr>
        <w:spacing w:after="120" w:line="360" w:lineRule="auto"/>
        <w:ind w:left="567"/>
        <w:jc w:val="both"/>
        <w:rPr>
          <w:rFonts w:ascii="David" w:hAnsi="David"/>
          <w:rtl/>
        </w:rPr>
      </w:pPr>
      <w:r w:rsidRPr="00F23981">
        <w:rPr>
          <w:rFonts w:ascii="David" w:hAnsi="David"/>
          <w:rtl/>
        </w:rPr>
        <w:t xml:space="preserve">ההלכה היא, שהנטל לסתירת חזקת הבעלות העולה מהרישום והוכחה כי הרישום של הזכויות אינו משקף את מצב הדברים האמיתי הוא נטל כבד מאוד (ע"א 2576/03 </w:t>
      </w:r>
      <w:r w:rsidRPr="00F23981">
        <w:rPr>
          <w:rFonts w:ascii="David" w:hAnsi="David"/>
          <w:b/>
          <w:bCs/>
          <w:rtl/>
        </w:rPr>
        <w:t>אהובה וינברג נ' האפוטרופוס לנכסי נפקדים</w:t>
      </w:r>
      <w:r w:rsidRPr="00F23981">
        <w:rPr>
          <w:rFonts w:ascii="David" w:hAnsi="David"/>
          <w:rtl/>
        </w:rPr>
        <w:t xml:space="preserve"> (1.2.2006)). </w:t>
      </w:r>
    </w:p>
    <w:p w:rsidR="00016167" w:rsidRDefault="00016167" w:rsidP="00393AB5">
      <w:pPr>
        <w:pStyle w:val="ae"/>
        <w:numPr>
          <w:ilvl w:val="0"/>
          <w:numId w:val="2"/>
        </w:numPr>
        <w:spacing w:after="120" w:line="360" w:lineRule="auto"/>
        <w:ind w:left="567" w:hanging="567"/>
        <w:contextualSpacing w:val="0"/>
        <w:jc w:val="both"/>
      </w:pPr>
      <w:r>
        <w:rPr>
          <w:rFonts w:hint="cs"/>
          <w:rtl/>
        </w:rPr>
        <w:t>האישה לא טענה במפורש כי הזכויות הוענקו לצדדים במתנה ולא עשתה שימוש</w:t>
      </w:r>
      <w:r w:rsidR="00D70925">
        <w:rPr>
          <w:rFonts w:hint="cs"/>
          <w:rtl/>
        </w:rPr>
        <w:t xml:space="preserve"> מפורש</w:t>
      </w:r>
      <w:r>
        <w:rPr>
          <w:rFonts w:hint="cs"/>
          <w:rtl/>
        </w:rPr>
        <w:t xml:space="preserve"> במונח "מתנה" (מונח שיש לו משמעות משפטית ומערכת כללים נוהגת) אך טענה, כי הנכס נבנה עבור הצדדים ויועד להם. למעשה כוונתה היא שהאב העניק להם את הזכויות. </w:t>
      </w:r>
    </w:p>
    <w:p w:rsidR="00D70925" w:rsidRDefault="00D70925" w:rsidP="004251DC">
      <w:pPr>
        <w:pStyle w:val="ae"/>
        <w:numPr>
          <w:ilvl w:val="0"/>
          <w:numId w:val="2"/>
        </w:numPr>
        <w:spacing w:after="120" w:line="360" w:lineRule="auto"/>
        <w:ind w:left="567" w:hanging="567"/>
        <w:contextualSpacing w:val="0"/>
        <w:jc w:val="both"/>
      </w:pPr>
      <w:r>
        <w:rPr>
          <w:rFonts w:hint="cs"/>
          <w:rtl/>
        </w:rPr>
        <w:t xml:space="preserve">האישה לא הציגה גרסה סדורה </w:t>
      </w:r>
      <w:r w:rsidR="00A46FF0">
        <w:rPr>
          <w:rFonts w:hint="cs"/>
          <w:rtl/>
        </w:rPr>
        <w:t xml:space="preserve">מפורטת </w:t>
      </w:r>
      <w:r>
        <w:rPr>
          <w:rFonts w:hint="cs"/>
          <w:rtl/>
        </w:rPr>
        <w:t xml:space="preserve">ביחס לאופן, למועד או לנסיבות בהן הוענקו להם הזכויות אך חזרה וטענה, כי </w:t>
      </w:r>
      <w:r w:rsidR="00A46FF0">
        <w:rPr>
          <w:rFonts w:hint="cs"/>
          <w:rtl/>
        </w:rPr>
        <w:t xml:space="preserve">טרם הנשואין </w:t>
      </w:r>
      <w:r>
        <w:rPr>
          <w:rFonts w:hint="cs"/>
          <w:rtl/>
        </w:rPr>
        <w:t>הוצג לה מצג שלאיש יש נכס להביא לנישואין (כך</w:t>
      </w:r>
      <w:r w:rsidR="00E43783">
        <w:rPr>
          <w:rFonts w:hint="cs"/>
          <w:rtl/>
        </w:rPr>
        <w:t xml:space="preserve"> </w:t>
      </w:r>
      <w:r w:rsidR="00E43783">
        <w:rPr>
          <w:rFonts w:hint="cs"/>
          <w:rtl/>
        </w:rPr>
        <w:lastRenderedPageBreak/>
        <w:t>גם טענו העדים מטעמה של האישה), כי הסתמכה על מצג זה וכי המצג בענין הנכס של האיש והסתמכותה על מצג זה מקנה לה זכויות בנכס.</w:t>
      </w:r>
    </w:p>
    <w:p w:rsidR="00FF16E0" w:rsidRPr="00FF16E0" w:rsidRDefault="00FF16E0" w:rsidP="00FF16E0">
      <w:pPr>
        <w:pStyle w:val="ae"/>
        <w:numPr>
          <w:ilvl w:val="0"/>
          <w:numId w:val="2"/>
        </w:numPr>
        <w:spacing w:after="120" w:line="360" w:lineRule="auto"/>
        <w:ind w:left="567" w:hanging="567"/>
        <w:contextualSpacing w:val="0"/>
        <w:jc w:val="both"/>
        <w:rPr>
          <w:rFonts w:ascii="David" w:hAnsi="David"/>
          <w:b/>
          <w:bCs/>
        </w:rPr>
      </w:pPr>
      <w:r w:rsidRPr="00FF16E0">
        <w:rPr>
          <w:rFonts w:ascii="David" w:hAnsi="David"/>
          <w:rtl/>
        </w:rPr>
        <w:t xml:space="preserve">סעיף 6 </w:t>
      </w:r>
      <w:r w:rsidRPr="00FF16E0">
        <w:rPr>
          <w:rFonts w:ascii="David" w:hAnsi="David"/>
          <w:u w:val="single"/>
          <w:rtl/>
        </w:rPr>
        <w:t>לחוק המתנה</w:t>
      </w:r>
      <w:r w:rsidRPr="00FF16E0">
        <w:rPr>
          <w:rFonts w:ascii="David" w:hAnsi="David"/>
          <w:rtl/>
        </w:rPr>
        <w:t>, תשכ"ח-1968 קובע, כי "</w:t>
      </w:r>
      <w:r w:rsidRPr="00FF16E0">
        <w:rPr>
          <w:rFonts w:ascii="David" w:hAnsi="David"/>
          <w:b/>
          <w:bCs/>
          <w:rtl/>
        </w:rPr>
        <w:t>בעלות בדבר המתנה עוברת למקבל במסירת הדבר לידו, או במסירת מסמך לידו המזכה אותו לקבלו, ואם היה הדבר ברשות המקבל - בהודעת הנותן למקבל על המתנה; והכל כשאין בדין אחר הוראות מיוחדות לענין הנדון".</w:t>
      </w:r>
    </w:p>
    <w:p w:rsidR="00FF16E0" w:rsidRPr="00FF16E0" w:rsidRDefault="00FF16E0" w:rsidP="00FF16E0">
      <w:pPr>
        <w:pStyle w:val="ae"/>
        <w:numPr>
          <w:ilvl w:val="0"/>
          <w:numId w:val="2"/>
        </w:numPr>
        <w:spacing w:after="120" w:line="360" w:lineRule="auto"/>
        <w:ind w:left="567" w:hanging="567"/>
        <w:contextualSpacing w:val="0"/>
        <w:jc w:val="both"/>
        <w:rPr>
          <w:rFonts w:ascii="David" w:hAnsi="David"/>
          <w:b/>
          <w:bCs/>
          <w:rtl/>
        </w:rPr>
      </w:pPr>
      <w:r>
        <w:rPr>
          <w:rFonts w:ascii="David" w:hAnsi="David" w:hint="cs"/>
          <w:rtl/>
        </w:rPr>
        <w:t>כ</w:t>
      </w:r>
      <w:r w:rsidRPr="00FF16E0">
        <w:rPr>
          <w:rFonts w:ascii="David" w:hAnsi="David"/>
          <w:rtl/>
        </w:rPr>
        <w:t>אשר מדובר במתנה של נכס מקרקעין, חלות הוראות החוק המיוחדות לענין זה ובכלל כך הוראות סעיף 7 לחוק המקרקעין הקובע, כי "</w:t>
      </w:r>
      <w:r w:rsidRPr="00FF16E0">
        <w:rPr>
          <w:rFonts w:ascii="David" w:hAnsi="David"/>
          <w:b/>
          <w:bCs/>
          <w:rtl/>
        </w:rPr>
        <w:t xml:space="preserve">עסקה במקרקעין טעונה רישום..." </w:t>
      </w:r>
      <w:r w:rsidRPr="00FF16E0">
        <w:rPr>
          <w:rFonts w:ascii="David" w:hAnsi="David"/>
          <w:rtl/>
        </w:rPr>
        <w:t xml:space="preserve">וכי </w:t>
      </w:r>
      <w:r w:rsidRPr="00FF16E0">
        <w:rPr>
          <w:rFonts w:ascii="David" w:hAnsi="David"/>
          <w:b/>
          <w:bCs/>
          <w:rtl/>
        </w:rPr>
        <w:t xml:space="preserve">"עסקה שלא נגמרה ברישום רואים אותה כהתחייבות לעשות עסקה". </w:t>
      </w:r>
    </w:p>
    <w:p w:rsidR="00FF16E0" w:rsidRPr="00FF16E0" w:rsidRDefault="00FF16E0" w:rsidP="00FF16E0">
      <w:pPr>
        <w:pStyle w:val="ae"/>
        <w:numPr>
          <w:ilvl w:val="0"/>
          <w:numId w:val="2"/>
        </w:numPr>
        <w:spacing w:after="120" w:line="360" w:lineRule="auto"/>
        <w:ind w:left="567" w:hanging="567"/>
        <w:contextualSpacing w:val="0"/>
        <w:jc w:val="both"/>
        <w:rPr>
          <w:rFonts w:ascii="David" w:hAnsi="David"/>
          <w:rtl/>
        </w:rPr>
      </w:pPr>
      <w:r w:rsidRPr="00FF16E0">
        <w:rPr>
          <w:rFonts w:ascii="David" w:hAnsi="David"/>
          <w:rtl/>
        </w:rPr>
        <w:t xml:space="preserve">בע"א (ת"א) 1612/03‏ </w:t>
      </w:r>
      <w:r w:rsidRPr="00FF16E0">
        <w:rPr>
          <w:rFonts w:ascii="David" w:hAnsi="David"/>
          <w:b/>
          <w:bCs/>
          <w:rtl/>
        </w:rPr>
        <w:t>גרינפלד נ' בן צבי</w:t>
      </w:r>
      <w:r w:rsidRPr="00FF16E0">
        <w:rPr>
          <w:rFonts w:ascii="David" w:hAnsi="David"/>
          <w:rtl/>
        </w:rPr>
        <w:t>, פ''ד תשסג(1) 83 סקר בית המשפט את העקרונות להוכחת הקניית מתנה וקבע, כך:</w:t>
      </w:r>
    </w:p>
    <w:p w:rsidR="00FF16E0" w:rsidRPr="00FF16E0" w:rsidRDefault="00FF16E0" w:rsidP="00FF16E0">
      <w:pPr>
        <w:pStyle w:val="ae"/>
        <w:spacing w:after="120" w:line="360" w:lineRule="auto"/>
        <w:ind w:left="1440" w:right="1134"/>
        <w:jc w:val="both"/>
        <w:rPr>
          <w:rFonts w:ascii="David" w:hAnsi="David"/>
          <w:b/>
          <w:bCs/>
          <w:rtl/>
        </w:rPr>
      </w:pPr>
      <w:r w:rsidRPr="00FF16E0">
        <w:rPr>
          <w:rFonts w:ascii="David" w:hAnsi="David"/>
          <w:rtl/>
        </w:rPr>
        <w:t>"</w:t>
      </w:r>
      <w:r w:rsidRPr="00FF16E0">
        <w:rPr>
          <w:rFonts w:ascii="David" w:hAnsi="David"/>
          <w:b/>
          <w:bCs/>
          <w:rtl/>
        </w:rPr>
        <w:t>הקניית מתנה כרוכה בשני יסודות - האחד, כוונה להקנות והשני - ביטוי חיצוני לפעולה... היסוד המכריע הוא כוונתו של הצד הנותן, השאלה אם במקרה ספיציפי נלוותה למעשה החיצוני כוונה להקנות את הנכס במתנה היא שאלה שבעובדה".</w:t>
      </w:r>
    </w:p>
    <w:p w:rsidR="00FF16E0" w:rsidRPr="00FF16E0" w:rsidRDefault="00FF16E0" w:rsidP="00FF16E0">
      <w:pPr>
        <w:pStyle w:val="ae"/>
        <w:spacing w:after="120" w:line="360" w:lineRule="auto"/>
        <w:ind w:left="567"/>
        <w:contextualSpacing w:val="0"/>
        <w:jc w:val="both"/>
        <w:rPr>
          <w:rFonts w:ascii="David" w:hAnsi="David"/>
          <w:rtl/>
        </w:rPr>
      </w:pPr>
      <w:r w:rsidRPr="00FF16E0">
        <w:rPr>
          <w:rFonts w:ascii="David" w:hAnsi="David"/>
          <w:rtl/>
        </w:rPr>
        <w:t>עוד קבע בית המשפט בענין זה, כי מאחר שמדובר בעסקה חד צדדית יש ציפיה שמקבל המתנה יעמוד על כוונותיו של המעניק ויוודא כי הגילוי החיצוני של הרצון משקף את הכוונה הסובייקטיבית של המעניק; וכי מוצדק להגן על אינטרס ההסתמכות של מקבל המתנה רק כאשר המצג של כוונתו של המעניק הוא ברור וחד משמעי.</w:t>
      </w:r>
    </w:p>
    <w:p w:rsidR="00FF16E0" w:rsidRPr="00FF16E0" w:rsidRDefault="00FF16E0" w:rsidP="00FF16E0">
      <w:pPr>
        <w:pStyle w:val="ae"/>
        <w:spacing w:after="120" w:line="360" w:lineRule="auto"/>
        <w:ind w:left="567"/>
        <w:contextualSpacing w:val="0"/>
        <w:jc w:val="both"/>
        <w:rPr>
          <w:rFonts w:ascii="David" w:hAnsi="David"/>
          <w:rtl/>
        </w:rPr>
      </w:pPr>
      <w:r w:rsidRPr="00FF16E0">
        <w:rPr>
          <w:rFonts w:ascii="David" w:hAnsi="David"/>
          <w:rtl/>
        </w:rPr>
        <w:t>(ראו גם תמ"ש (ת"א) 35666-09-13‏ </w:t>
      </w:r>
      <w:r w:rsidRPr="00FF16E0">
        <w:rPr>
          <w:rFonts w:ascii="David" w:hAnsi="David"/>
          <w:b/>
          <w:bCs/>
          <w:rtl/>
        </w:rPr>
        <w:t>א' מ' נ' ד' מ'</w:t>
      </w:r>
      <w:r w:rsidRPr="00FF16E0">
        <w:rPr>
          <w:rFonts w:ascii="David" w:hAnsi="David"/>
          <w:rtl/>
        </w:rPr>
        <w:t>‏ (8.9.2019) וכן תמ"ש 26852-09-14 </w:t>
      </w:r>
      <w:r w:rsidRPr="00FF16E0">
        <w:rPr>
          <w:rFonts w:ascii="David" w:hAnsi="David"/>
          <w:b/>
          <w:bCs/>
        </w:rPr>
        <w:t>XXX </w:t>
      </w:r>
      <w:r w:rsidRPr="00FF16E0">
        <w:rPr>
          <w:rFonts w:ascii="David" w:hAnsi="David"/>
          <w:b/>
          <w:bCs/>
          <w:rtl/>
        </w:rPr>
        <w:t>נ</w:t>
      </w:r>
      <w:r w:rsidRPr="00FF16E0">
        <w:rPr>
          <w:rFonts w:ascii="David" w:hAnsi="David"/>
          <w:b/>
          <w:bCs/>
        </w:rPr>
        <w:t>' XXX </w:t>
      </w:r>
      <w:r w:rsidRPr="00FF16E0">
        <w:rPr>
          <w:rFonts w:ascii="David" w:hAnsi="David"/>
          <w:b/>
          <w:bCs/>
          <w:rtl/>
        </w:rPr>
        <w:t>ואח</w:t>
      </w:r>
      <w:r w:rsidRPr="00FF16E0">
        <w:rPr>
          <w:rFonts w:ascii="David" w:hAnsi="David"/>
          <w:b/>
          <w:bCs/>
        </w:rPr>
        <w:t>'</w:t>
      </w:r>
      <w:r w:rsidRPr="00FF16E0">
        <w:rPr>
          <w:rFonts w:ascii="David" w:hAnsi="David"/>
          <w:rtl/>
        </w:rPr>
        <w:t xml:space="preserve"> (25.5.2021) ("</w:t>
      </w:r>
      <w:r w:rsidRPr="00FF16E0">
        <w:rPr>
          <w:rFonts w:ascii="David" w:hAnsi="David"/>
          <w:b/>
          <w:bCs/>
          <w:rtl/>
        </w:rPr>
        <w:t>ענין פלונית</w:t>
      </w:r>
      <w:r w:rsidRPr="00FF16E0">
        <w:rPr>
          <w:rFonts w:ascii="David" w:hAnsi="David"/>
          <w:rtl/>
        </w:rPr>
        <w:t>")).</w:t>
      </w:r>
    </w:p>
    <w:p w:rsidR="00FF16E0" w:rsidRPr="00FF16E0" w:rsidRDefault="00725373" w:rsidP="00725373">
      <w:pPr>
        <w:pStyle w:val="ae"/>
        <w:numPr>
          <w:ilvl w:val="0"/>
          <w:numId w:val="2"/>
        </w:numPr>
        <w:spacing w:after="120" w:line="360" w:lineRule="auto"/>
        <w:ind w:left="567" w:hanging="567"/>
        <w:contextualSpacing w:val="0"/>
        <w:jc w:val="both"/>
        <w:rPr>
          <w:rFonts w:ascii="David" w:hAnsi="David"/>
          <w:rtl/>
        </w:rPr>
      </w:pPr>
      <w:r>
        <w:rPr>
          <w:rFonts w:ascii="David" w:hAnsi="David" w:hint="cs"/>
          <w:rtl/>
        </w:rPr>
        <w:t>ב</w:t>
      </w:r>
      <w:r w:rsidR="00FF16E0" w:rsidRPr="00FF16E0">
        <w:rPr>
          <w:rFonts w:ascii="David" w:hAnsi="David"/>
          <w:rtl/>
        </w:rPr>
        <w:t>ע</w:t>
      </w:r>
      <w:r w:rsidR="00393AB5">
        <w:rPr>
          <w:rFonts w:ascii="David" w:hAnsi="David" w:hint="cs"/>
          <w:rtl/>
        </w:rPr>
        <w:t>"</w:t>
      </w:r>
      <w:r w:rsidR="00FF16E0" w:rsidRPr="00FF16E0">
        <w:rPr>
          <w:rFonts w:ascii="David" w:hAnsi="David"/>
          <w:rtl/>
        </w:rPr>
        <w:t>מ (חי') 330/05 </w:t>
      </w:r>
      <w:r w:rsidR="00FF16E0" w:rsidRPr="00FF16E0">
        <w:rPr>
          <w:rFonts w:ascii="David" w:hAnsi="David"/>
          <w:b/>
          <w:bCs/>
          <w:rtl/>
        </w:rPr>
        <w:t>פלוני נ' אלמונית</w:t>
      </w:r>
      <w:r w:rsidR="00FF16E0" w:rsidRPr="00FF16E0">
        <w:rPr>
          <w:rFonts w:ascii="David" w:hAnsi="David"/>
          <w:rtl/>
        </w:rPr>
        <w:t xml:space="preserve"> (28.5.2006) (</w:t>
      </w:r>
      <w:r w:rsidR="00FF16E0" w:rsidRPr="00FF16E0">
        <w:rPr>
          <w:rFonts w:ascii="David" w:hAnsi="David"/>
          <w:b/>
          <w:bCs/>
          <w:rtl/>
        </w:rPr>
        <w:t>"ענין פלוני"</w:t>
      </w:r>
      <w:r w:rsidR="00FF16E0" w:rsidRPr="00FF16E0">
        <w:rPr>
          <w:rFonts w:ascii="David" w:hAnsi="David"/>
          <w:rtl/>
        </w:rPr>
        <w:t>) בחן בית המשפט את מידת ההוכחה הנדרשת על מנת להוכיח מתנה במקרקעין כאשר מדובר בדירת מגורים שאינה בבעלות מי מבני הזוג וקבע, כך:</w:t>
      </w:r>
    </w:p>
    <w:p w:rsidR="00FF16E0" w:rsidRPr="00725373" w:rsidRDefault="00FF16E0" w:rsidP="00725373">
      <w:pPr>
        <w:pStyle w:val="ae"/>
        <w:spacing w:after="120" w:line="360" w:lineRule="auto"/>
        <w:ind w:left="1440" w:right="1134"/>
        <w:jc w:val="both"/>
        <w:rPr>
          <w:rFonts w:ascii="David" w:hAnsi="David"/>
          <w:b/>
          <w:bCs/>
          <w:rtl/>
        </w:rPr>
      </w:pPr>
      <w:r w:rsidRPr="00725373">
        <w:rPr>
          <w:rFonts w:ascii="David" w:hAnsi="David"/>
          <w:b/>
          <w:bCs/>
          <w:rtl/>
        </w:rPr>
        <w:t>"</w:t>
      </w:r>
      <w:r w:rsidRPr="00FF16E0">
        <w:rPr>
          <w:rFonts w:ascii="David" w:hAnsi="David"/>
          <w:b/>
          <w:bCs/>
          <w:rtl/>
        </w:rPr>
        <w:t>מידת ההוכחה הנדרשת על מנת להוכיח מתן מתנה במקרקעין גבוהה במידה ניכרת ממידת ההוכחה הנדרשת כאשר מלוא הזכויות בדירת המגורים רשומות על שם אחד מבני הזוג".</w:t>
      </w:r>
      <w:r w:rsidRPr="00725373">
        <w:rPr>
          <w:rFonts w:ascii="David" w:hAnsi="David"/>
          <w:b/>
          <w:bCs/>
          <w:rtl/>
        </w:rPr>
        <w:t>  </w:t>
      </w:r>
    </w:p>
    <w:p w:rsidR="00FF16E0" w:rsidRPr="00FF16E0" w:rsidRDefault="00FF16E0" w:rsidP="00725373">
      <w:pPr>
        <w:pStyle w:val="ae"/>
        <w:spacing w:after="120" w:line="360" w:lineRule="auto"/>
        <w:ind w:left="567"/>
        <w:contextualSpacing w:val="0"/>
        <w:jc w:val="both"/>
        <w:rPr>
          <w:rFonts w:ascii="David" w:hAnsi="David"/>
        </w:rPr>
      </w:pPr>
      <w:r w:rsidRPr="00FF16E0">
        <w:rPr>
          <w:rFonts w:ascii="David" w:hAnsi="David"/>
          <w:rtl/>
        </w:rPr>
        <w:t xml:space="preserve">הרציונל לקביעה זו הוא שכאשר מדובר בדירת מגורים שהבעלות בה היא של צד ג' לא מתקיימת מערכת שותפות הנובעת מחיי הנישואין </w:t>
      </w:r>
      <w:r w:rsidRPr="00FF16E0">
        <w:rPr>
          <w:rFonts w:ascii="David" w:hAnsi="David"/>
          <w:b/>
          <w:bCs/>
          <w:rtl/>
        </w:rPr>
        <w:t>"וכמות הראיות הנדרשת כדי להרים את נטל ההוכחה במידה הנדרשת רבה יותר מזו הנדרשת בין בני זוג</w:t>
      </w:r>
      <w:r w:rsidRPr="00FF16E0">
        <w:rPr>
          <w:rFonts w:ascii="David" w:hAnsi="David"/>
          <w:rtl/>
        </w:rPr>
        <w:t>". </w:t>
      </w:r>
    </w:p>
    <w:p w:rsidR="00FF16E0" w:rsidRPr="00725373" w:rsidRDefault="00FF16E0" w:rsidP="00725373">
      <w:pPr>
        <w:spacing w:after="120" w:line="360" w:lineRule="auto"/>
        <w:ind w:left="567"/>
        <w:jc w:val="both"/>
        <w:rPr>
          <w:rFonts w:ascii="David" w:hAnsi="David"/>
          <w:rtl/>
        </w:rPr>
      </w:pPr>
      <w:r w:rsidRPr="00725373">
        <w:rPr>
          <w:rFonts w:ascii="David" w:hAnsi="David"/>
          <w:rtl/>
        </w:rPr>
        <w:lastRenderedPageBreak/>
        <w:t>ב</w:t>
      </w:r>
      <w:r w:rsidRPr="00725373">
        <w:rPr>
          <w:rFonts w:ascii="David" w:hAnsi="David"/>
          <w:b/>
          <w:bCs/>
          <w:rtl/>
        </w:rPr>
        <w:t xml:space="preserve">ענין פלונית </w:t>
      </w:r>
      <w:r w:rsidRPr="00725373">
        <w:rPr>
          <w:rFonts w:ascii="David" w:hAnsi="David"/>
          <w:rtl/>
        </w:rPr>
        <w:t xml:space="preserve">קבע בית המשפט, כי האינדיקציה הראשונה לבחינת אומד דעת מעניק המתנה היא רישום הזכויות. </w:t>
      </w:r>
    </w:p>
    <w:p w:rsidR="00FF16E0" w:rsidRDefault="00FF16E0" w:rsidP="00725373">
      <w:pPr>
        <w:pStyle w:val="ae"/>
        <w:numPr>
          <w:ilvl w:val="0"/>
          <w:numId w:val="2"/>
        </w:numPr>
        <w:spacing w:after="120" w:line="360" w:lineRule="auto"/>
        <w:ind w:left="567" w:hanging="567"/>
        <w:contextualSpacing w:val="0"/>
        <w:jc w:val="both"/>
        <w:rPr>
          <w:rFonts w:ascii="David" w:hAnsi="David"/>
          <w:rtl/>
        </w:rPr>
      </w:pPr>
      <w:r>
        <w:rPr>
          <w:rFonts w:ascii="David" w:hAnsi="David"/>
          <w:rtl/>
        </w:rPr>
        <w:t xml:space="preserve">אוסיף, כי ההלכה היא שגם כאשר מדובר בהסכמה משפחתית, אין בכך כדי לפטור מדרישת הכתב במקרקעין (בע"מ 329/15 </w:t>
      </w:r>
      <w:r>
        <w:rPr>
          <w:rFonts w:ascii="David" w:hAnsi="David"/>
          <w:b/>
          <w:bCs/>
          <w:rtl/>
        </w:rPr>
        <w:t>פלוני נ' פלוני</w:t>
      </w:r>
      <w:r>
        <w:rPr>
          <w:rFonts w:ascii="David" w:hAnsi="David"/>
          <w:rtl/>
        </w:rPr>
        <w:t xml:space="preserve"> (25.2.2015).</w:t>
      </w:r>
    </w:p>
    <w:p w:rsidR="00725373" w:rsidRDefault="00725373" w:rsidP="007D58BC">
      <w:pPr>
        <w:pStyle w:val="ae"/>
        <w:numPr>
          <w:ilvl w:val="0"/>
          <w:numId w:val="2"/>
        </w:numPr>
        <w:spacing w:after="120" w:line="360" w:lineRule="auto"/>
        <w:ind w:left="567" w:hanging="567"/>
        <w:contextualSpacing w:val="0"/>
        <w:jc w:val="both"/>
      </w:pPr>
      <w:r w:rsidRPr="00393AB5">
        <w:rPr>
          <w:rFonts w:hint="cs"/>
          <w:rtl/>
        </w:rPr>
        <w:t>אם כן, לסיכום נקודה זו</w:t>
      </w:r>
      <w:r>
        <w:rPr>
          <w:rFonts w:hint="cs"/>
          <w:rtl/>
        </w:rPr>
        <w:t xml:space="preserve"> - </w:t>
      </w:r>
      <w:r w:rsidR="007D58BC">
        <w:rPr>
          <w:rFonts w:hint="cs"/>
          <w:rtl/>
        </w:rPr>
        <w:t xml:space="preserve">בכדי לסתור את הרישום ולהוכיח בעלות שאינה עולה מהרישום, על הטוען טענה זו לעמוד בנטל מוגבר. כאשר הטענה היא למתנה יש להוכיח הן את הכוונה להקנות מתנה והן להציג ביטוי חיצוני כלשהו לאותה כוונה נטענת; כאשר כל זאת מתקיים ביתר שאת כאשר מדובר בנכס שהזכויות בו רשומות שלא על שם מי מבני הזוג (כפי שמתקיים במקרה שלנו). </w:t>
      </w:r>
    </w:p>
    <w:p w:rsidR="00EF719D" w:rsidRDefault="00A46FF0" w:rsidP="00A46FF0">
      <w:pPr>
        <w:pStyle w:val="ae"/>
        <w:numPr>
          <w:ilvl w:val="0"/>
          <w:numId w:val="2"/>
        </w:numPr>
        <w:spacing w:after="120" w:line="360" w:lineRule="auto"/>
        <w:ind w:left="567" w:hanging="567"/>
        <w:contextualSpacing w:val="0"/>
        <w:jc w:val="both"/>
      </w:pPr>
      <w:r>
        <w:rPr>
          <w:rFonts w:hint="cs"/>
          <w:rtl/>
        </w:rPr>
        <w:t xml:space="preserve">אקדים ואומר, כי האישה לא הוכיחה </w:t>
      </w:r>
      <w:r w:rsidR="00EF719D">
        <w:rPr>
          <w:rFonts w:hint="cs"/>
          <w:rtl/>
        </w:rPr>
        <w:t xml:space="preserve">את עצם הכוונה הנטענת להעניק את הנכס במתנה ואף לא הוכיחה קיומו של ביטוי חיצוני להקנייה הנטענת. </w:t>
      </w:r>
    </w:p>
    <w:p w:rsidR="00EF719D" w:rsidRDefault="00EF719D" w:rsidP="00EF719D">
      <w:pPr>
        <w:pStyle w:val="ae"/>
        <w:spacing w:after="120" w:line="360" w:lineRule="auto"/>
        <w:ind w:left="567"/>
        <w:contextualSpacing w:val="0"/>
        <w:jc w:val="both"/>
      </w:pPr>
      <w:r>
        <w:rPr>
          <w:rFonts w:hint="cs"/>
          <w:rtl/>
        </w:rPr>
        <w:t>אפרט:</w:t>
      </w:r>
    </w:p>
    <w:p w:rsidR="00EF719D" w:rsidRDefault="00EF719D" w:rsidP="00A46FF0">
      <w:pPr>
        <w:pStyle w:val="ae"/>
        <w:numPr>
          <w:ilvl w:val="0"/>
          <w:numId w:val="2"/>
        </w:numPr>
        <w:spacing w:after="120" w:line="360" w:lineRule="auto"/>
        <w:ind w:left="567" w:hanging="567"/>
        <w:contextualSpacing w:val="0"/>
        <w:jc w:val="both"/>
      </w:pPr>
      <w:r>
        <w:rPr>
          <w:rFonts w:hint="cs"/>
          <w:rtl/>
        </w:rPr>
        <w:t xml:space="preserve">הטענה בפי האישה היתה, כי טרם הנשואין וכתנאי להם הוצג לה שבבעלותו של האיש נכס למגורי הצדדים. </w:t>
      </w:r>
    </w:p>
    <w:p w:rsidR="00A46FF0" w:rsidRDefault="00EF719D" w:rsidP="00EF719D">
      <w:pPr>
        <w:pStyle w:val="ae"/>
        <w:spacing w:after="120" w:line="360" w:lineRule="auto"/>
        <w:ind w:left="567"/>
        <w:contextualSpacing w:val="0"/>
        <w:jc w:val="both"/>
      </w:pPr>
      <w:r>
        <w:rPr>
          <w:rFonts w:hint="cs"/>
          <w:rtl/>
        </w:rPr>
        <w:t xml:space="preserve">ואולם, טענה זו, </w:t>
      </w:r>
      <w:r w:rsidR="00A46FF0">
        <w:rPr>
          <w:rFonts w:hint="cs"/>
          <w:rtl/>
        </w:rPr>
        <w:t>כי הוצג לה או למי מטעמה</w:t>
      </w:r>
      <w:r w:rsidR="00D70925">
        <w:rPr>
          <w:rFonts w:hint="cs"/>
          <w:rtl/>
        </w:rPr>
        <w:t xml:space="preserve"> מצג</w:t>
      </w:r>
      <w:r w:rsidR="00D50DF2">
        <w:rPr>
          <w:rFonts w:hint="cs"/>
          <w:rtl/>
        </w:rPr>
        <w:t xml:space="preserve"> בדבר בעלות </w:t>
      </w:r>
      <w:r w:rsidR="00A46FF0">
        <w:rPr>
          <w:rFonts w:hint="cs"/>
          <w:rtl/>
        </w:rPr>
        <w:t xml:space="preserve">של האיש </w:t>
      </w:r>
      <w:r w:rsidR="00D50DF2">
        <w:rPr>
          <w:rFonts w:hint="cs"/>
          <w:rtl/>
        </w:rPr>
        <w:t xml:space="preserve">בנכס </w:t>
      </w:r>
      <w:r w:rsidR="00A46FF0">
        <w:rPr>
          <w:rFonts w:hint="cs"/>
          <w:rtl/>
        </w:rPr>
        <w:t xml:space="preserve">מקרקעין </w:t>
      </w:r>
      <w:r w:rsidR="00D50DF2">
        <w:rPr>
          <w:rFonts w:hint="cs"/>
          <w:rtl/>
        </w:rPr>
        <w:t>בעת קביעת תנאי הנ</w:t>
      </w:r>
      <w:r>
        <w:rPr>
          <w:rFonts w:hint="cs"/>
          <w:rtl/>
        </w:rPr>
        <w:t>י</w:t>
      </w:r>
      <w:r w:rsidR="00D50DF2">
        <w:rPr>
          <w:rFonts w:hint="cs"/>
          <w:rtl/>
        </w:rPr>
        <w:t>שואין</w:t>
      </w:r>
      <w:r>
        <w:rPr>
          <w:rFonts w:hint="cs"/>
          <w:rtl/>
        </w:rPr>
        <w:t>, לא הוכחה:</w:t>
      </w:r>
      <w:r w:rsidR="00D50DF2">
        <w:rPr>
          <w:rFonts w:hint="cs"/>
          <w:rtl/>
        </w:rPr>
        <w:t xml:space="preserve"> </w:t>
      </w:r>
    </w:p>
    <w:p w:rsidR="00352AEF" w:rsidRDefault="00195A3B" w:rsidP="00A46FF0">
      <w:pPr>
        <w:pStyle w:val="ae"/>
        <w:spacing w:after="120" w:line="360" w:lineRule="auto"/>
        <w:ind w:left="567"/>
        <w:contextualSpacing w:val="0"/>
        <w:jc w:val="both"/>
        <w:rPr>
          <w:rtl/>
        </w:rPr>
      </w:pPr>
      <w:r w:rsidRPr="00EF719D">
        <w:rPr>
          <w:rFonts w:hint="cs"/>
          <w:b/>
          <w:bCs/>
          <w:rtl/>
        </w:rPr>
        <w:t>הא</w:t>
      </w:r>
      <w:r w:rsidR="00352AEF" w:rsidRPr="00EF719D">
        <w:rPr>
          <w:rFonts w:hint="cs"/>
          <w:b/>
          <w:bCs/>
          <w:rtl/>
        </w:rPr>
        <w:t>ישה</w:t>
      </w:r>
      <w:r w:rsidR="00352AEF">
        <w:rPr>
          <w:rFonts w:hint="cs"/>
          <w:rtl/>
        </w:rPr>
        <w:t xml:space="preserve"> העידה, כי לא נכחה במעמד עריכת חוזה הנשואין (עמ' 41, ש' 26-25 וכן ש' 30); כי לא שמעה את האיש אומר שיש לו בית (אם כי טענה שדודו של האיש אמר זאת, עמ' 41, ש' 32-31) ולא שמעה את האב אומר שהבית של האיש (עמ' 42, ש' 2-1). </w:t>
      </w:r>
    </w:p>
    <w:p w:rsidR="00352AEF" w:rsidRDefault="00EF719D" w:rsidP="00EF719D">
      <w:pPr>
        <w:pStyle w:val="ae"/>
        <w:spacing w:after="120" w:line="360" w:lineRule="auto"/>
        <w:ind w:left="567"/>
        <w:contextualSpacing w:val="0"/>
        <w:jc w:val="both"/>
        <w:rPr>
          <w:rtl/>
        </w:rPr>
      </w:pPr>
      <w:r>
        <w:rPr>
          <w:rFonts w:hint="cs"/>
          <w:rtl/>
        </w:rPr>
        <w:t xml:space="preserve">עוד </w:t>
      </w:r>
      <w:r w:rsidR="00352AEF">
        <w:rPr>
          <w:rFonts w:hint="cs"/>
          <w:rtl/>
        </w:rPr>
        <w:t>העידה</w:t>
      </w:r>
      <w:r w:rsidR="00061A9F">
        <w:rPr>
          <w:rFonts w:hint="cs"/>
          <w:rtl/>
        </w:rPr>
        <w:t xml:space="preserve"> האישה</w:t>
      </w:r>
      <w:r w:rsidR="00352AEF">
        <w:rPr>
          <w:rFonts w:hint="cs"/>
          <w:rtl/>
        </w:rPr>
        <w:t xml:space="preserve">, כי האיש אמר "שיש לו את הבית" (עמ' 42,ש' 8-5) וכי על אף שלא שמעה אותו </w:t>
      </w:r>
      <w:r w:rsidR="002C100A">
        <w:rPr>
          <w:rFonts w:hint="cs"/>
          <w:rtl/>
        </w:rPr>
        <w:t>אומר זאת במפורש, זה היה מובן מא</w:t>
      </w:r>
      <w:r w:rsidR="00352AEF">
        <w:rPr>
          <w:rFonts w:hint="cs"/>
          <w:rtl/>
        </w:rPr>
        <w:t>ליו שיש לו בית משלו (עמ' 42, ש' 28-21.</w:t>
      </w:r>
    </w:p>
    <w:p w:rsidR="00D70925" w:rsidRDefault="00D50DF2" w:rsidP="00A46FF0">
      <w:pPr>
        <w:pStyle w:val="ae"/>
        <w:spacing w:after="120" w:line="360" w:lineRule="auto"/>
        <w:ind w:left="567"/>
        <w:contextualSpacing w:val="0"/>
        <w:jc w:val="both"/>
        <w:rPr>
          <w:rtl/>
        </w:rPr>
      </w:pPr>
      <w:r w:rsidRPr="00EF719D">
        <w:rPr>
          <w:rFonts w:hint="cs"/>
          <w:b/>
          <w:bCs/>
          <w:rtl/>
        </w:rPr>
        <w:t>העד מטעמה של האישה</w:t>
      </w:r>
      <w:r>
        <w:rPr>
          <w:rFonts w:hint="cs"/>
          <w:rtl/>
        </w:rPr>
        <w:t xml:space="preserve"> העיד, כי </w:t>
      </w:r>
      <w:r w:rsidR="00EC2C0B">
        <w:rPr>
          <w:rFonts w:hint="cs"/>
          <w:rtl/>
        </w:rPr>
        <w:t>האב אמר שיש שני בתים, שבניית הבית תסתיים עד לנישואין, כי זה לא תנאי כתוב וכי "</w:t>
      </w:r>
      <w:r w:rsidR="00EC2C0B" w:rsidRPr="00A46FF0">
        <w:rPr>
          <w:rFonts w:hint="cs"/>
          <w:b/>
          <w:bCs/>
          <w:rtl/>
        </w:rPr>
        <w:t>מראש אומרים שיש בית. לא שואלים אם יש בית</w:t>
      </w:r>
      <w:r w:rsidR="00EC2C0B">
        <w:rPr>
          <w:rFonts w:hint="cs"/>
          <w:rtl/>
        </w:rPr>
        <w:t>" (עמ' 13, ש 12-1).</w:t>
      </w:r>
    </w:p>
    <w:p w:rsidR="00EC2C0B" w:rsidRDefault="00EC2C0B" w:rsidP="00D70925">
      <w:pPr>
        <w:pStyle w:val="ae"/>
        <w:spacing w:after="120" w:line="360" w:lineRule="auto"/>
        <w:ind w:left="567"/>
        <w:contextualSpacing w:val="0"/>
        <w:jc w:val="both"/>
        <w:rPr>
          <w:b/>
          <w:bCs/>
          <w:rtl/>
        </w:rPr>
      </w:pPr>
      <w:r>
        <w:rPr>
          <w:rFonts w:hint="cs"/>
          <w:rtl/>
        </w:rPr>
        <w:t xml:space="preserve">גם </w:t>
      </w:r>
      <w:r w:rsidRPr="00EF719D">
        <w:rPr>
          <w:rFonts w:hint="cs"/>
          <w:b/>
          <w:bCs/>
          <w:rtl/>
        </w:rPr>
        <w:t xml:space="preserve">אחיה של </w:t>
      </w:r>
      <w:r w:rsidR="00F61176" w:rsidRPr="00EF719D">
        <w:rPr>
          <w:rFonts w:hint="cs"/>
          <w:b/>
          <w:bCs/>
          <w:rtl/>
        </w:rPr>
        <w:t xml:space="preserve">אמה של </w:t>
      </w:r>
      <w:r w:rsidRPr="00EF719D">
        <w:rPr>
          <w:rFonts w:hint="cs"/>
          <w:b/>
          <w:bCs/>
          <w:rtl/>
        </w:rPr>
        <w:t>האישה</w:t>
      </w:r>
      <w:r>
        <w:rPr>
          <w:rFonts w:hint="cs"/>
          <w:rtl/>
        </w:rPr>
        <w:t xml:space="preserve"> ציין כי בעת חגיגות חתימת הסכם הנישואין "</w:t>
      </w:r>
      <w:r>
        <w:rPr>
          <w:rFonts w:hint="cs"/>
          <w:b/>
          <w:bCs/>
          <w:rtl/>
        </w:rPr>
        <w:t>האבא בא בחגיגיות ואמר אני בונה שני בתים לבן הזה ולבן הזה. מתוך המעמד הזה, אנחנו לא נבוא לחפש על מי רשום זה או זה, מובן שהבת תגור בבית הזה... האבא שלו בנה לבנים שלו שני בתים"</w:t>
      </w:r>
      <w:r w:rsidR="00F61176">
        <w:rPr>
          <w:rFonts w:hint="cs"/>
          <w:b/>
          <w:bCs/>
          <w:rtl/>
        </w:rPr>
        <w:t xml:space="preserve"> </w:t>
      </w:r>
      <w:r w:rsidR="00F61176" w:rsidRPr="00F61176">
        <w:rPr>
          <w:rFonts w:hint="cs"/>
          <w:rtl/>
        </w:rPr>
        <w:t>(עמ' 15, ש' 30-15)</w:t>
      </w:r>
      <w:r>
        <w:rPr>
          <w:rFonts w:hint="cs"/>
          <w:b/>
          <w:bCs/>
          <w:rtl/>
        </w:rPr>
        <w:t xml:space="preserve">. </w:t>
      </w:r>
    </w:p>
    <w:p w:rsidR="00EC2C0B" w:rsidRDefault="00F61176" w:rsidP="00741F84">
      <w:pPr>
        <w:pStyle w:val="ae"/>
        <w:spacing w:after="120" w:line="360" w:lineRule="auto"/>
        <w:ind w:left="567"/>
        <w:contextualSpacing w:val="0"/>
        <w:jc w:val="both"/>
        <w:rPr>
          <w:b/>
          <w:bCs/>
          <w:rtl/>
        </w:rPr>
      </w:pPr>
      <w:r>
        <w:rPr>
          <w:rFonts w:hint="cs"/>
          <w:rtl/>
        </w:rPr>
        <w:lastRenderedPageBreak/>
        <w:t xml:space="preserve">כאשר נשאל העד האמור האם הבעלות בנכס היא של האיש השיב: </w:t>
      </w:r>
      <w:r>
        <w:rPr>
          <w:rFonts w:hint="cs"/>
          <w:b/>
          <w:bCs/>
          <w:rtl/>
        </w:rPr>
        <w:t>"אני לא יודע מה הבעלויות. אני יודע שבת אחותי מתו</w:t>
      </w:r>
      <w:r w:rsidR="00A46FF0">
        <w:rPr>
          <w:rFonts w:hint="cs"/>
          <w:b/>
          <w:bCs/>
          <w:rtl/>
        </w:rPr>
        <w:t>ק</w:t>
      </w:r>
      <w:r>
        <w:rPr>
          <w:rFonts w:hint="cs"/>
          <w:b/>
          <w:bCs/>
          <w:rtl/>
        </w:rPr>
        <w:t>ף שנשואה ל</w:t>
      </w:r>
      <w:r w:rsidR="00741F84">
        <w:rPr>
          <w:rFonts w:hint="cs"/>
          <w:b/>
          <w:bCs/>
          <w:rtl/>
        </w:rPr>
        <w:t>---</w:t>
      </w:r>
      <w:r>
        <w:rPr>
          <w:rFonts w:hint="cs"/>
          <w:b/>
          <w:bCs/>
          <w:rtl/>
        </w:rPr>
        <w:t xml:space="preserve"> ויש לה ילדים, יש לה קורת גג. זה מקרה אחד נורמה בחברה הערבית שאנחנו חיים בה... מישהו בא לבקש את היד של הבת שלך, שואל אותו מה הפרנסה שלו, מה עובד, יש לו בית לגור בו ולכלה? זהו" </w:t>
      </w:r>
      <w:r w:rsidRPr="00F61176">
        <w:rPr>
          <w:rFonts w:hint="cs"/>
          <w:rtl/>
        </w:rPr>
        <w:t xml:space="preserve">(עמ' 16, ש' 11-1). </w:t>
      </w:r>
    </w:p>
    <w:p w:rsidR="00F61176" w:rsidRDefault="00F61176" w:rsidP="00D70925">
      <w:pPr>
        <w:pStyle w:val="ae"/>
        <w:spacing w:after="120" w:line="360" w:lineRule="auto"/>
        <w:ind w:left="567"/>
        <w:contextualSpacing w:val="0"/>
        <w:jc w:val="both"/>
        <w:rPr>
          <w:b/>
          <w:bCs/>
          <w:rtl/>
        </w:rPr>
      </w:pPr>
      <w:r>
        <w:rPr>
          <w:rFonts w:hint="cs"/>
          <w:b/>
          <w:bCs/>
          <w:rtl/>
        </w:rPr>
        <w:t>עוד הוסיף, כי אין מסמכים שמעידים על הבעלות של האיש וכי "זה לא תנאי לחתונה. לפני 20 שנה זה היה תנאי לחתונה..."</w:t>
      </w:r>
      <w:r w:rsidRPr="00F61176">
        <w:rPr>
          <w:rFonts w:hint="cs"/>
          <w:rtl/>
        </w:rPr>
        <w:t xml:space="preserve"> (עמ' 16, ש' 12-6)</w:t>
      </w:r>
    </w:p>
    <w:p w:rsidR="00851B3C" w:rsidRDefault="00851B3C" w:rsidP="00D70925">
      <w:pPr>
        <w:pStyle w:val="ae"/>
        <w:spacing w:after="120" w:line="360" w:lineRule="auto"/>
        <w:ind w:left="567"/>
        <w:contextualSpacing w:val="0"/>
        <w:jc w:val="both"/>
        <w:rPr>
          <w:rtl/>
        </w:rPr>
      </w:pPr>
      <w:r>
        <w:rPr>
          <w:rFonts w:hint="cs"/>
          <w:rtl/>
        </w:rPr>
        <w:t xml:space="preserve">כאשר נשאל </w:t>
      </w:r>
      <w:r w:rsidRPr="00EF719D">
        <w:rPr>
          <w:rFonts w:hint="cs"/>
          <w:b/>
          <w:bCs/>
          <w:rtl/>
        </w:rPr>
        <w:t>אחיה של האישה</w:t>
      </w:r>
      <w:r>
        <w:rPr>
          <w:rFonts w:hint="cs"/>
          <w:rtl/>
        </w:rPr>
        <w:t xml:space="preserve"> איזה ראיות יש לו לכך שהאיש בעל הזכויות בנכס ציין, כי כאשר בנה את הבית סייע לאביו, שילם לקבלן וכן היה מעורב בהתקנת התריסים שנרכשו מבן דודו (עמ' 20, ש' 19-12).</w:t>
      </w:r>
    </w:p>
    <w:p w:rsidR="00A46FF0" w:rsidRPr="00851B3C" w:rsidRDefault="00A46FF0" w:rsidP="00906DFA">
      <w:pPr>
        <w:pStyle w:val="ae"/>
        <w:spacing w:after="120" w:line="360" w:lineRule="auto"/>
        <w:ind w:left="567"/>
        <w:contextualSpacing w:val="0"/>
        <w:jc w:val="both"/>
        <w:rPr>
          <w:rtl/>
        </w:rPr>
      </w:pPr>
      <w:r>
        <w:rPr>
          <w:rFonts w:hint="cs"/>
          <w:rtl/>
        </w:rPr>
        <w:t>כלומר, גם העדים מטעמה של האישה העידו שהוצג מצג ביחס לכך שהאב בנה בתים לשני בניו</w:t>
      </w:r>
      <w:r w:rsidR="00906DFA">
        <w:rPr>
          <w:rFonts w:hint="cs"/>
          <w:rtl/>
        </w:rPr>
        <w:t xml:space="preserve"> וכי תהיה לזוג הצעיר קורת גג. לא הוצגה עדות לכך שנאמר או הוצג לבני משפחת האישה כי לאיש </w:t>
      </w:r>
      <w:r w:rsidR="00061A9F">
        <w:rPr>
          <w:rFonts w:hint="cs"/>
          <w:rtl/>
        </w:rPr>
        <w:t xml:space="preserve">יש או </w:t>
      </w:r>
      <w:r w:rsidR="00906DFA">
        <w:rPr>
          <w:rFonts w:hint="cs"/>
          <w:rtl/>
        </w:rPr>
        <w:t xml:space="preserve">עתידות להיות זכויות </w:t>
      </w:r>
      <w:r w:rsidR="00906DFA" w:rsidRPr="00EF719D">
        <w:rPr>
          <w:rFonts w:hint="cs"/>
          <w:b/>
          <w:bCs/>
          <w:rtl/>
        </w:rPr>
        <w:t xml:space="preserve">בעלות </w:t>
      </w:r>
      <w:r w:rsidR="00906DFA">
        <w:rPr>
          <w:rFonts w:hint="cs"/>
          <w:rtl/>
        </w:rPr>
        <w:t>בנכס (במובחן מקיומו של נכס לשימושו של הזוג הצעיר).</w:t>
      </w:r>
    </w:p>
    <w:p w:rsidR="00D70925" w:rsidRDefault="00906DFA" w:rsidP="00EF719D">
      <w:pPr>
        <w:pStyle w:val="ae"/>
        <w:numPr>
          <w:ilvl w:val="0"/>
          <w:numId w:val="2"/>
        </w:numPr>
        <w:spacing w:after="120" w:line="360" w:lineRule="auto"/>
        <w:ind w:left="567" w:hanging="567"/>
        <w:contextualSpacing w:val="0"/>
        <w:jc w:val="both"/>
      </w:pPr>
      <w:r>
        <w:rPr>
          <w:rFonts w:hint="cs"/>
          <w:rtl/>
        </w:rPr>
        <w:t xml:space="preserve">אציין, כי נתתי אמון בעדותם של העדים מטעמה של האישה. הדברים היו סדורים ומגובשים אולם מעדותם עולה, כי הוצג מצג בדבר </w:t>
      </w:r>
      <w:r w:rsidRPr="00EF719D">
        <w:rPr>
          <w:rFonts w:hint="cs"/>
          <w:b/>
          <w:bCs/>
          <w:rtl/>
        </w:rPr>
        <w:t>הסדר מגורים</w:t>
      </w:r>
      <w:r>
        <w:rPr>
          <w:rFonts w:hint="cs"/>
          <w:rtl/>
        </w:rPr>
        <w:t xml:space="preserve"> לזוג הצעיר. </w:t>
      </w:r>
      <w:r w:rsidR="00D70925">
        <w:rPr>
          <w:rFonts w:hint="cs"/>
          <w:rtl/>
        </w:rPr>
        <w:t>אין בכך כדי ללמד על כך שה</w:t>
      </w:r>
      <w:r w:rsidR="00EF719D">
        <w:rPr>
          <w:rFonts w:hint="cs"/>
          <w:rtl/>
        </w:rPr>
        <w:t>איש</w:t>
      </w:r>
      <w:r w:rsidR="00D70925">
        <w:rPr>
          <w:rFonts w:hint="cs"/>
          <w:rtl/>
        </w:rPr>
        <w:t xml:space="preserve"> בעל זכויות קנייניות בנכס</w:t>
      </w:r>
      <w:r w:rsidR="00EF719D">
        <w:rPr>
          <w:rFonts w:hint="cs"/>
          <w:rtl/>
        </w:rPr>
        <w:t xml:space="preserve"> או על כוונה להקנות לזוג הצעיר זכויות בעלות בנכס</w:t>
      </w:r>
      <w:r w:rsidR="00D70925">
        <w:rPr>
          <w:rFonts w:hint="cs"/>
          <w:rtl/>
        </w:rPr>
        <w:t xml:space="preserve">. </w:t>
      </w:r>
    </w:p>
    <w:p w:rsidR="002A3B68" w:rsidRDefault="000F61C1" w:rsidP="002A3B68">
      <w:pPr>
        <w:pStyle w:val="ae"/>
        <w:numPr>
          <w:ilvl w:val="0"/>
          <w:numId w:val="2"/>
        </w:numPr>
        <w:spacing w:after="120" w:line="360" w:lineRule="auto"/>
        <w:ind w:left="567" w:hanging="567"/>
        <w:contextualSpacing w:val="0"/>
        <w:jc w:val="both"/>
        <w:rPr>
          <w:rFonts w:ascii="David" w:hAnsi="David"/>
          <w:rtl/>
        </w:rPr>
      </w:pPr>
      <w:r>
        <w:rPr>
          <w:rFonts w:ascii="David" w:hAnsi="David"/>
          <w:rtl/>
        </w:rPr>
        <w:t>אוסיף, כי</w:t>
      </w:r>
      <w:r>
        <w:rPr>
          <w:rFonts w:ascii="David" w:hAnsi="David" w:hint="cs"/>
          <w:rtl/>
        </w:rPr>
        <w:t xml:space="preserve"> גם אם היה מוכח קיומו של מצג בדבר הסכמה משפחתית להקניית הנכס (וכאמור, לא הוכח מצג בדבר הקניית זכויות בעלות אלא בעצם קיומו של מקום מגורים לשימוש הזוג לאחר נשואיהם)</w:t>
      </w:r>
      <w:r>
        <w:rPr>
          <w:rFonts w:ascii="David" w:hAnsi="David"/>
          <w:rtl/>
        </w:rPr>
        <w:t xml:space="preserve"> ההלכה היא שגם כאשר מדובר בהסכמה משפחתית, אין בכך כדי לפטור מדרישת הכתב במקרקעין (בע"מ 329/15 </w:t>
      </w:r>
      <w:r>
        <w:rPr>
          <w:rFonts w:ascii="David" w:hAnsi="David"/>
          <w:b/>
          <w:bCs/>
          <w:rtl/>
        </w:rPr>
        <w:t>פלוני נ' פלוני</w:t>
      </w:r>
      <w:r w:rsidR="002A3B68">
        <w:rPr>
          <w:rFonts w:ascii="David" w:hAnsi="David"/>
          <w:rtl/>
        </w:rPr>
        <w:t xml:space="preserve"> (25.2.2015)</w:t>
      </w:r>
      <w:r w:rsidR="00061A9F">
        <w:rPr>
          <w:rFonts w:ascii="David" w:hAnsi="David" w:hint="cs"/>
          <w:rtl/>
        </w:rPr>
        <w:t xml:space="preserve"> שהוזכר לעיל)</w:t>
      </w:r>
      <w:r w:rsidR="002A3B68">
        <w:rPr>
          <w:rFonts w:ascii="David" w:hAnsi="David" w:hint="cs"/>
          <w:rtl/>
        </w:rPr>
        <w:t>.</w:t>
      </w:r>
    </w:p>
    <w:p w:rsidR="002A3B68" w:rsidRDefault="002A3B68" w:rsidP="00061A9F">
      <w:pPr>
        <w:pStyle w:val="ae"/>
        <w:numPr>
          <w:ilvl w:val="0"/>
          <w:numId w:val="2"/>
        </w:numPr>
        <w:spacing w:after="120" w:line="360" w:lineRule="auto"/>
        <w:ind w:left="567" w:hanging="567"/>
        <w:contextualSpacing w:val="0"/>
        <w:jc w:val="both"/>
        <w:rPr>
          <w:rFonts w:ascii="David" w:hAnsi="David"/>
        </w:rPr>
      </w:pPr>
      <w:r w:rsidRPr="002A3B68">
        <w:rPr>
          <w:rFonts w:ascii="David" w:hAnsi="David"/>
          <w:b/>
          <w:bCs/>
          <w:rtl/>
        </w:rPr>
        <w:t>על מנת להפריך את חזקת הרישום אין די בהוכחת שימוש הנוגד את הבעלות אלא יש להראות אינדיקציות ברורות לעסקה שחייבת להעשות בכתב</w:t>
      </w:r>
      <w:r>
        <w:rPr>
          <w:rFonts w:ascii="David" w:hAnsi="David" w:hint="cs"/>
          <w:rtl/>
        </w:rPr>
        <w:t xml:space="preserve"> (</w:t>
      </w:r>
      <w:r>
        <w:rPr>
          <w:rFonts w:ascii="David" w:hAnsi="David"/>
          <w:rtl/>
        </w:rPr>
        <w:t xml:space="preserve">תלה"מ (נצרת) 60777-07-20 </w:t>
      </w:r>
      <w:r>
        <w:rPr>
          <w:rFonts w:ascii="David" w:hAnsi="David"/>
          <w:b/>
          <w:bCs/>
          <w:rtl/>
        </w:rPr>
        <w:t xml:space="preserve">ג.ס. נ' מ.ד. </w:t>
      </w:r>
      <w:r>
        <w:rPr>
          <w:rFonts w:ascii="David" w:hAnsi="David"/>
          <w:rtl/>
        </w:rPr>
        <w:t>(14.4.2021)</w:t>
      </w:r>
      <w:r w:rsidR="00EF719D">
        <w:rPr>
          <w:rFonts w:ascii="David" w:hAnsi="David" w:hint="cs"/>
          <w:rtl/>
        </w:rPr>
        <w:t xml:space="preserve"> שהוזכר לעיל</w:t>
      </w:r>
      <w:r>
        <w:rPr>
          <w:rFonts w:ascii="David" w:hAnsi="David" w:hint="cs"/>
          <w:rtl/>
        </w:rPr>
        <w:t>).</w:t>
      </w:r>
      <w:r>
        <w:rPr>
          <w:rFonts w:ascii="David" w:hAnsi="David"/>
          <w:rtl/>
        </w:rPr>
        <w:t xml:space="preserve"> </w:t>
      </w:r>
    </w:p>
    <w:p w:rsidR="00061A9F" w:rsidRDefault="000F61C1" w:rsidP="000F61C1">
      <w:pPr>
        <w:pStyle w:val="ae"/>
        <w:numPr>
          <w:ilvl w:val="0"/>
          <w:numId w:val="2"/>
        </w:numPr>
        <w:spacing w:after="120" w:line="360" w:lineRule="auto"/>
        <w:ind w:left="567" w:hanging="567"/>
        <w:contextualSpacing w:val="0"/>
        <w:jc w:val="both"/>
        <w:rPr>
          <w:rFonts w:ascii="David" w:hAnsi="David"/>
        </w:rPr>
      </w:pPr>
      <w:r w:rsidRPr="000F61C1">
        <w:rPr>
          <w:rFonts w:ascii="David" w:hAnsi="David"/>
          <w:rtl/>
        </w:rPr>
        <w:t xml:space="preserve">מצופה היה שאילו הכוונה היתה להקנות את המקרקעין במתנה היה מוסדר הרישום בהתאם, נרשמת הערת אזהרה, או לכל הפחות היה תיעוד בכתב לעסקה. </w:t>
      </w:r>
    </w:p>
    <w:p w:rsidR="000F61C1" w:rsidRDefault="000F61C1" w:rsidP="00061A9F">
      <w:pPr>
        <w:pStyle w:val="ae"/>
        <w:spacing w:after="120" w:line="360" w:lineRule="auto"/>
        <w:ind w:left="567"/>
        <w:contextualSpacing w:val="0"/>
        <w:jc w:val="both"/>
        <w:rPr>
          <w:rFonts w:ascii="David" w:hAnsi="David"/>
          <w:rtl/>
        </w:rPr>
      </w:pPr>
      <w:r>
        <w:rPr>
          <w:rFonts w:ascii="David" w:hAnsi="David" w:hint="cs"/>
          <w:rtl/>
        </w:rPr>
        <w:t xml:space="preserve">הצדדים לא הציגו תרגום של הסכם </w:t>
      </w:r>
      <w:r w:rsidR="00061A9F">
        <w:rPr>
          <w:rFonts w:ascii="David" w:hAnsi="David" w:hint="cs"/>
          <w:rtl/>
        </w:rPr>
        <w:t xml:space="preserve">תנאי </w:t>
      </w:r>
      <w:r>
        <w:rPr>
          <w:rFonts w:ascii="David" w:hAnsi="David" w:hint="cs"/>
          <w:rtl/>
        </w:rPr>
        <w:t xml:space="preserve">הנשואין אולם מן העדויות עולה, כי ההסכם אינו קובע התחייבות להקניית זכויות בעלות בנכס ולא הוצג שום תיעוד בכתב להתחייבות להקניית זכויות בעלות או אינדקציה לכך. </w:t>
      </w:r>
    </w:p>
    <w:p w:rsidR="000F61C1" w:rsidRPr="00A96087" w:rsidRDefault="000F61C1" w:rsidP="0088771F">
      <w:pPr>
        <w:pStyle w:val="ae"/>
        <w:numPr>
          <w:ilvl w:val="0"/>
          <w:numId w:val="2"/>
        </w:numPr>
        <w:spacing w:after="120" w:line="360" w:lineRule="auto"/>
        <w:ind w:left="567" w:hanging="567"/>
        <w:contextualSpacing w:val="0"/>
        <w:jc w:val="both"/>
      </w:pPr>
      <w:r w:rsidRPr="00A96087">
        <w:rPr>
          <w:rFonts w:ascii="David" w:hAnsi="David" w:hint="cs"/>
          <w:rtl/>
        </w:rPr>
        <w:lastRenderedPageBreak/>
        <w:t xml:space="preserve">בנוסף, </w:t>
      </w:r>
      <w:r w:rsidRPr="00A96087">
        <w:rPr>
          <w:rFonts w:ascii="David" w:hAnsi="David"/>
          <w:rtl/>
        </w:rPr>
        <w:t xml:space="preserve">העובדה שמשך השנים הרבות בהן התגוררו </w:t>
      </w:r>
      <w:r w:rsidRPr="00A96087">
        <w:rPr>
          <w:rFonts w:ascii="David" w:hAnsi="David" w:hint="cs"/>
          <w:rtl/>
        </w:rPr>
        <w:t>האיש והאישה</w:t>
      </w:r>
      <w:r w:rsidRPr="00A96087">
        <w:rPr>
          <w:rFonts w:ascii="David" w:hAnsi="David"/>
          <w:rtl/>
        </w:rPr>
        <w:t xml:space="preserve"> ב</w:t>
      </w:r>
      <w:r w:rsidRPr="00A96087">
        <w:rPr>
          <w:rFonts w:ascii="David" w:hAnsi="David" w:hint="cs"/>
          <w:rtl/>
        </w:rPr>
        <w:t xml:space="preserve">נכס </w:t>
      </w:r>
      <w:r w:rsidRPr="00A96087">
        <w:rPr>
          <w:rFonts w:ascii="David" w:hAnsi="David"/>
          <w:rtl/>
        </w:rPr>
        <w:t xml:space="preserve">לא בוצעה הסדרה של הרישום מלמדת, כי לא היתה כוונה להקנות את זכויות </w:t>
      </w:r>
      <w:r w:rsidRPr="00A96087">
        <w:rPr>
          <w:rFonts w:ascii="David" w:hAnsi="David" w:hint="cs"/>
          <w:rtl/>
        </w:rPr>
        <w:t xml:space="preserve">הבעלות בנכס וכי לא היתה הבנה של הצדדים והסתמכות על זכות הבעלות בו. </w:t>
      </w:r>
    </w:p>
    <w:p w:rsidR="007A1FAD" w:rsidRDefault="00016167" w:rsidP="00D70925">
      <w:pPr>
        <w:pStyle w:val="ae"/>
        <w:numPr>
          <w:ilvl w:val="0"/>
          <w:numId w:val="2"/>
        </w:numPr>
        <w:spacing w:after="120" w:line="360" w:lineRule="auto"/>
        <w:ind w:left="567" w:hanging="567"/>
        <w:contextualSpacing w:val="0"/>
        <w:jc w:val="both"/>
      </w:pPr>
      <w:r>
        <w:rPr>
          <w:rFonts w:hint="cs"/>
          <w:rtl/>
        </w:rPr>
        <w:t xml:space="preserve">כראיה </w:t>
      </w:r>
      <w:r w:rsidR="00A96087">
        <w:rPr>
          <w:rFonts w:hint="cs"/>
          <w:rtl/>
        </w:rPr>
        <w:t xml:space="preserve">המבססת את טענה לזכותם של בני הזוג בנכס </w:t>
      </w:r>
      <w:r>
        <w:rPr>
          <w:rFonts w:hint="cs"/>
          <w:rtl/>
        </w:rPr>
        <w:t xml:space="preserve">ביקשה האישה להסתמך על כך שהיתר הבניה הוצא על שם האיש וכי הבעלות בנכס בוועדה רשומה על שם האיש (כך נטען בתצהיר האישה). </w:t>
      </w:r>
    </w:p>
    <w:p w:rsidR="007A1FAD" w:rsidRDefault="007A1FAD" w:rsidP="007A1FAD">
      <w:pPr>
        <w:pStyle w:val="ae"/>
        <w:spacing w:after="120" w:line="360" w:lineRule="auto"/>
        <w:ind w:left="567"/>
        <w:contextualSpacing w:val="0"/>
        <w:jc w:val="both"/>
        <w:rPr>
          <w:rtl/>
        </w:rPr>
      </w:pPr>
      <w:r>
        <w:rPr>
          <w:rFonts w:hint="cs"/>
          <w:rtl/>
        </w:rPr>
        <w:t xml:space="preserve">האב טען כי רישום ההיתר על שם האיש נועד להסדיר את החיוב בארנונה (עמ' 33, ש' 33-30). </w:t>
      </w:r>
    </w:p>
    <w:p w:rsidR="004251DC" w:rsidRDefault="00A96087" w:rsidP="007A1FAD">
      <w:pPr>
        <w:pStyle w:val="ae"/>
        <w:spacing w:after="120" w:line="360" w:lineRule="auto"/>
        <w:ind w:left="567"/>
        <w:contextualSpacing w:val="0"/>
        <w:jc w:val="both"/>
      </w:pPr>
      <w:r>
        <w:rPr>
          <w:rFonts w:hint="cs"/>
          <w:rtl/>
        </w:rPr>
        <w:t xml:space="preserve">איני מקבלת את ההסבר שהוצג על ידי האב </w:t>
      </w:r>
      <w:r w:rsidR="007A1FAD">
        <w:rPr>
          <w:rFonts w:hint="cs"/>
          <w:rtl/>
        </w:rPr>
        <w:t xml:space="preserve">שכן זהותו של הגורם המחוייב בתשלום ארנונה אינו קשור לזהותו של בעל ההיתר או זהות בעל זכות הבעלות בנכס, </w:t>
      </w:r>
      <w:r>
        <w:rPr>
          <w:rFonts w:hint="cs"/>
          <w:rtl/>
        </w:rPr>
        <w:t xml:space="preserve">אולם ממילא, אין בעצם קיומו של היתר בניה כדי להקנות זכויות במקרקעין והעובדה שההיתר הוא על שמו של האיש אינה מלמדת על זכות בעלות בנכס </w:t>
      </w:r>
      <w:r>
        <w:rPr>
          <w:rFonts w:ascii="David" w:hAnsi="David"/>
          <w:rtl/>
        </w:rPr>
        <w:t xml:space="preserve">(על המשמעות של מתן היתר ביחס להקניית זכות במקרקעין ראו תמ"ש (טב') 2690-10-10‏ ‏ </w:t>
      </w:r>
      <w:r>
        <w:rPr>
          <w:rFonts w:ascii="David" w:hAnsi="David"/>
          <w:b/>
          <w:bCs/>
          <w:rtl/>
        </w:rPr>
        <w:t>י.נ נ' ר.נ</w:t>
      </w:r>
      <w:r>
        <w:rPr>
          <w:rFonts w:ascii="David" w:hAnsi="David"/>
          <w:rtl/>
        </w:rPr>
        <w:t xml:space="preserve"> (3.3.2013)).</w:t>
      </w:r>
    </w:p>
    <w:p w:rsidR="002A3B68" w:rsidRDefault="002A3B68" w:rsidP="00D70925">
      <w:pPr>
        <w:pStyle w:val="ae"/>
        <w:numPr>
          <w:ilvl w:val="0"/>
          <w:numId w:val="2"/>
        </w:numPr>
        <w:spacing w:after="120" w:line="360" w:lineRule="auto"/>
        <w:ind w:left="567" w:hanging="567"/>
        <w:contextualSpacing w:val="0"/>
        <w:jc w:val="both"/>
      </w:pPr>
      <w:r>
        <w:rPr>
          <w:rFonts w:hint="cs"/>
          <w:rtl/>
        </w:rPr>
        <w:t>במסגרת טענותיה של האישה בדבר הצגת המצג בדבר הקניית נכס מקרקעין בעת הסדרת תנאי הנשואין עמדה האישה על הנוהג בענין זה בחברה המסורתית (הוצגה פסיקה מפורטת בענין זה וה</w:t>
      </w:r>
      <w:r w:rsidR="00314748">
        <w:rPr>
          <w:rFonts w:hint="cs"/>
          <w:rtl/>
        </w:rPr>
        <w:t xml:space="preserve">דבר נטען על ידי האישה ועל ידי העדים מטעמה). </w:t>
      </w:r>
    </w:p>
    <w:p w:rsidR="005B6C79" w:rsidRDefault="00061A9F" w:rsidP="00061A9F">
      <w:pPr>
        <w:pStyle w:val="ae"/>
        <w:numPr>
          <w:ilvl w:val="0"/>
          <w:numId w:val="2"/>
        </w:numPr>
        <w:spacing w:after="120" w:line="360" w:lineRule="auto"/>
        <w:ind w:left="567" w:hanging="567"/>
        <w:contextualSpacing w:val="0"/>
        <w:jc w:val="both"/>
      </w:pPr>
      <w:r>
        <w:rPr>
          <w:rFonts w:hint="cs"/>
          <w:rtl/>
        </w:rPr>
        <w:t>ב"כ האיש</w:t>
      </w:r>
      <w:r w:rsidR="00314748">
        <w:rPr>
          <w:rFonts w:hint="cs"/>
          <w:rtl/>
        </w:rPr>
        <w:t xml:space="preserve"> חלק על עצם קיומו של הנוהג </w:t>
      </w:r>
      <w:r w:rsidR="00FE3476">
        <w:rPr>
          <w:rFonts w:hint="cs"/>
          <w:rtl/>
        </w:rPr>
        <w:t xml:space="preserve">(עמ' 2, ש' 15 </w:t>
      </w:r>
      <w:r>
        <w:rPr>
          <w:rFonts w:hint="cs"/>
          <w:rtl/>
        </w:rPr>
        <w:t>-</w:t>
      </w:r>
      <w:r w:rsidR="00FE3476">
        <w:rPr>
          <w:rFonts w:hint="cs"/>
          <w:rtl/>
        </w:rPr>
        <w:t xml:space="preserve"> עמ' 4, ש' 13)</w:t>
      </w:r>
      <w:r w:rsidR="00195A3B">
        <w:rPr>
          <w:rFonts w:hint="cs"/>
          <w:rtl/>
        </w:rPr>
        <w:t xml:space="preserve"> כן האיש (עמ' 38, ש' 13-5)</w:t>
      </w:r>
      <w:r>
        <w:rPr>
          <w:rFonts w:hint="cs"/>
          <w:rtl/>
        </w:rPr>
        <w:t xml:space="preserve"> והדבר חזר ועלה במסגרת ההליך. </w:t>
      </w:r>
    </w:p>
    <w:p w:rsidR="00314748" w:rsidRDefault="005B6C79" w:rsidP="00B504CC">
      <w:pPr>
        <w:pStyle w:val="ae"/>
        <w:numPr>
          <w:ilvl w:val="0"/>
          <w:numId w:val="2"/>
        </w:numPr>
        <w:spacing w:after="120" w:line="360" w:lineRule="auto"/>
        <w:ind w:left="567" w:hanging="567"/>
        <w:contextualSpacing w:val="0"/>
        <w:jc w:val="both"/>
      </w:pPr>
      <w:r>
        <w:rPr>
          <w:rFonts w:hint="cs"/>
          <w:rtl/>
        </w:rPr>
        <w:t xml:space="preserve">בתמ"ש 67203-02-2020 </w:t>
      </w:r>
      <w:r w:rsidRPr="005B6C79">
        <w:rPr>
          <w:rFonts w:hint="cs"/>
          <w:b/>
          <w:bCs/>
          <w:rtl/>
        </w:rPr>
        <w:t>ג' נ' ג' ואח'</w:t>
      </w:r>
      <w:r>
        <w:rPr>
          <w:rFonts w:hint="cs"/>
          <w:rtl/>
        </w:rPr>
        <w:t xml:space="preserve"> (5.9.2021) התייחסתי לטענות בענין הסתמכות על נוהג הקיים בחברות מסורתיות בענין הקניית זכויות מסוג כזה או אחר טרם הנשואין. אחזור על עיקרי הדברים ו</w:t>
      </w:r>
      <w:r w:rsidR="00B504CC">
        <w:rPr>
          <w:rFonts w:hint="cs"/>
          <w:rtl/>
        </w:rPr>
        <w:t>אפנה ל</w:t>
      </w:r>
      <w:r w:rsidR="00061A9F">
        <w:rPr>
          <w:rFonts w:hint="cs"/>
          <w:rtl/>
        </w:rPr>
        <w:t>פירוט המלא מובא שם:</w:t>
      </w:r>
      <w:r>
        <w:rPr>
          <w:rFonts w:hint="cs"/>
          <w:rtl/>
        </w:rPr>
        <w:t xml:space="preserve"> </w:t>
      </w:r>
    </w:p>
    <w:p w:rsidR="00314748" w:rsidRPr="00B504CC" w:rsidRDefault="00B504CC" w:rsidP="00061A9F">
      <w:pPr>
        <w:pStyle w:val="ae"/>
        <w:spacing w:after="120" w:line="360" w:lineRule="auto"/>
        <w:ind w:left="567"/>
        <w:contextualSpacing w:val="0"/>
        <w:jc w:val="both"/>
        <w:rPr>
          <w:rFonts w:ascii="David" w:hAnsi="David"/>
          <w:b/>
          <w:bCs/>
          <w:rtl/>
        </w:rPr>
      </w:pPr>
      <w:r>
        <w:rPr>
          <w:rFonts w:ascii="David" w:hAnsi="David" w:hint="cs"/>
          <w:rtl/>
        </w:rPr>
        <w:t>ב</w:t>
      </w:r>
      <w:r>
        <w:rPr>
          <w:rFonts w:ascii="David" w:hAnsi="David"/>
          <w:rtl/>
        </w:rPr>
        <w:t>תמ"ש 26852-09-14 </w:t>
      </w:r>
      <w:r>
        <w:rPr>
          <w:rFonts w:ascii="David" w:hAnsi="David"/>
          <w:b/>
          <w:bCs/>
        </w:rPr>
        <w:t>XXX </w:t>
      </w:r>
      <w:r>
        <w:rPr>
          <w:rFonts w:ascii="David" w:hAnsi="David" w:hint="cs"/>
          <w:b/>
          <w:bCs/>
          <w:rtl/>
        </w:rPr>
        <w:t>נ</w:t>
      </w:r>
      <w:r>
        <w:rPr>
          <w:rFonts w:ascii="David" w:hAnsi="David"/>
          <w:b/>
          <w:bCs/>
        </w:rPr>
        <w:t>' XXX </w:t>
      </w:r>
      <w:r>
        <w:rPr>
          <w:rFonts w:ascii="David" w:hAnsi="David" w:hint="cs"/>
          <w:b/>
          <w:bCs/>
          <w:rtl/>
        </w:rPr>
        <w:t>ואח</w:t>
      </w:r>
      <w:r>
        <w:rPr>
          <w:rFonts w:ascii="David" w:hAnsi="David"/>
          <w:b/>
          <w:bCs/>
        </w:rPr>
        <w:t>'</w:t>
      </w:r>
      <w:r>
        <w:rPr>
          <w:rFonts w:ascii="David" w:hAnsi="David"/>
          <w:rtl/>
        </w:rPr>
        <w:t xml:space="preserve"> (25.5.2021) </w:t>
      </w:r>
      <w:r w:rsidR="00314748" w:rsidRPr="00314748">
        <w:rPr>
          <w:rFonts w:ascii="David" w:hAnsi="David"/>
          <w:rtl/>
        </w:rPr>
        <w:t>כבוד השופטת הבכירה ש. ברגר</w:t>
      </w:r>
      <w:r>
        <w:rPr>
          <w:rFonts w:ascii="David" w:hAnsi="David" w:hint="cs"/>
          <w:rtl/>
        </w:rPr>
        <w:t xml:space="preserve"> קבעה, כי עצם קיומו של נוהג כזה או אחר אינו בידיעה שיפוטית ועל כן, בכדי להסתמך על הנוהג הנטען, יש להוכיחו בראיות</w:t>
      </w:r>
      <w:r w:rsidR="00314748" w:rsidRPr="00B504CC">
        <w:rPr>
          <w:rFonts w:ascii="David" w:hAnsi="David"/>
          <w:rtl/>
        </w:rPr>
        <w:t xml:space="preserve"> (וראו בהקשר זה גם תמ"ש (נצ') 19078-11-15 </w:t>
      </w:r>
      <w:r w:rsidR="00314748" w:rsidRPr="00B504CC">
        <w:rPr>
          <w:rFonts w:ascii="David" w:hAnsi="David"/>
          <w:b/>
          <w:bCs/>
          <w:rtl/>
        </w:rPr>
        <w:t xml:space="preserve">מ.א. נ' נ.ע. </w:t>
      </w:r>
      <w:r w:rsidR="00314748" w:rsidRPr="00B504CC">
        <w:rPr>
          <w:rFonts w:ascii="David" w:hAnsi="David"/>
          <w:rtl/>
        </w:rPr>
        <w:t>(24.1.2019)).</w:t>
      </w:r>
    </w:p>
    <w:p w:rsidR="00314748" w:rsidRPr="00314748" w:rsidRDefault="00314748" w:rsidP="00061A9F">
      <w:pPr>
        <w:pStyle w:val="ae"/>
        <w:spacing w:after="120" w:line="360" w:lineRule="auto"/>
        <w:ind w:left="567"/>
        <w:contextualSpacing w:val="0"/>
        <w:jc w:val="both"/>
        <w:rPr>
          <w:rFonts w:ascii="David" w:hAnsi="David"/>
          <w:rtl/>
        </w:rPr>
      </w:pPr>
      <w:r w:rsidRPr="00314748">
        <w:rPr>
          <w:rFonts w:ascii="David" w:hAnsi="David"/>
          <w:rtl/>
        </w:rPr>
        <w:t xml:space="preserve">עמדה שונה ביחס להסתמכות על הנוהג הקיים בחברה הערבית ניתן ללמוד מפסק הדין של כבוד השופט נ. סילמן בעמ"ש (חי) 16551-06-19 </w:t>
      </w:r>
      <w:r w:rsidRPr="00314748">
        <w:rPr>
          <w:rFonts w:ascii="David" w:hAnsi="David"/>
          <w:b/>
          <w:bCs/>
          <w:rtl/>
        </w:rPr>
        <w:t>פלונית נ' אלמונית ואח' (</w:t>
      </w:r>
      <w:r w:rsidRPr="00314748">
        <w:rPr>
          <w:rFonts w:ascii="David" w:hAnsi="David"/>
          <w:rtl/>
        </w:rPr>
        <w:t xml:space="preserve">9.1.2020) אשר ראה בהתחייבות בענין קיומו של נכס למגורים בעת הנישואין נוהג המקים הסתמכות אצל בני הזוג. </w:t>
      </w:r>
    </w:p>
    <w:p w:rsidR="00314748" w:rsidRPr="005B6C79" w:rsidRDefault="00314748" w:rsidP="005B6C79">
      <w:pPr>
        <w:spacing w:after="120" w:line="360" w:lineRule="auto"/>
        <w:ind w:left="567"/>
        <w:jc w:val="both"/>
        <w:rPr>
          <w:rFonts w:ascii="David" w:hAnsi="David"/>
          <w:rtl/>
        </w:rPr>
      </w:pPr>
      <w:r w:rsidRPr="005B6C79">
        <w:rPr>
          <w:rFonts w:ascii="David" w:hAnsi="David"/>
          <w:rtl/>
        </w:rPr>
        <w:lastRenderedPageBreak/>
        <w:t xml:space="preserve">כבוד השופט סילמן התייחס להסכמות אלה כנוהג קיים וידוע מבלי להקדים ולדרוש הוכחתו של הנוהג (כאשר יובהר, כי ההתייחסות של כבוד השופט סילמן היא ביחס להסתמכות על זכות המגורים והשקעה בנכס ולא בהקשר של הקניית זכויות במקרקעין). </w:t>
      </w:r>
    </w:p>
    <w:p w:rsidR="00314748" w:rsidRPr="005B6C79" w:rsidRDefault="00314748" w:rsidP="005B6C79">
      <w:pPr>
        <w:spacing w:after="120" w:line="360" w:lineRule="auto"/>
        <w:ind w:left="567"/>
        <w:jc w:val="both"/>
        <w:rPr>
          <w:rFonts w:ascii="David" w:hAnsi="David"/>
          <w:rtl/>
        </w:rPr>
      </w:pPr>
      <w:r w:rsidRPr="005B6C79">
        <w:rPr>
          <w:rFonts w:ascii="David" w:hAnsi="David"/>
          <w:rtl/>
        </w:rPr>
        <w:t>אציין כי כבוד השופטת העמיתה ש. שטמר לא היתה שותפה לעמדה זו וקבעה, כי "</w:t>
      </w:r>
      <w:r w:rsidRPr="005B6C79">
        <w:rPr>
          <w:rFonts w:ascii="David" w:hAnsi="David"/>
          <w:b/>
          <w:bCs/>
          <w:rtl/>
        </w:rPr>
        <w:t>השוני הוא</w:t>
      </w:r>
      <w:r w:rsidRPr="005B6C79">
        <w:rPr>
          <w:rFonts w:ascii="David" w:hAnsi="David"/>
          <w:rtl/>
        </w:rPr>
        <w:t xml:space="preserve"> </w:t>
      </w:r>
      <w:r w:rsidRPr="005B6C79">
        <w:rPr>
          <w:rFonts w:ascii="David" w:hAnsi="David"/>
          <w:b/>
          <w:bCs/>
          <w:rtl/>
        </w:rPr>
        <w:t>בעובדות בלבד, ואין הוכחה שהוא [הנוהג] קיים אצל כל החברה הערבית הדתית או שאינו קיים גם בחברה היהודית"</w:t>
      </w:r>
      <w:r w:rsidRPr="005B6C79">
        <w:rPr>
          <w:rFonts w:ascii="David" w:hAnsi="David"/>
          <w:rtl/>
        </w:rPr>
        <w:t xml:space="preserve"> (סעיף 2 לפסק דינה).</w:t>
      </w:r>
    </w:p>
    <w:p w:rsidR="00314748" w:rsidRPr="00314748" w:rsidRDefault="00314748" w:rsidP="005B6C79">
      <w:pPr>
        <w:pStyle w:val="ae"/>
        <w:numPr>
          <w:ilvl w:val="0"/>
          <w:numId w:val="2"/>
        </w:numPr>
        <w:spacing w:after="120" w:line="360" w:lineRule="auto"/>
        <w:ind w:left="567" w:hanging="567"/>
        <w:contextualSpacing w:val="0"/>
        <w:jc w:val="both"/>
        <w:rPr>
          <w:rFonts w:ascii="David" w:hAnsi="David"/>
          <w:rtl/>
        </w:rPr>
      </w:pPr>
      <w:r w:rsidRPr="00314748">
        <w:rPr>
          <w:rFonts w:ascii="David" w:hAnsi="David"/>
          <w:rtl/>
        </w:rPr>
        <w:t>כך או כך, בענין שלפניי לא הוצגה כל ראיה לעצם קיומה של ההתחייבות ביחס למקרקעין במסגרת מארג ההתחייבויות הכרוכות בנישואין ולא הוצגה כל ראיה לעצם קיומה של התחייבות להעברת זכויות במקרקעין במובחן מזכות למגורים (</w:t>
      </w:r>
      <w:r w:rsidR="005B6C79">
        <w:rPr>
          <w:rFonts w:ascii="David" w:hAnsi="David" w:hint="cs"/>
          <w:rtl/>
        </w:rPr>
        <w:t>כאמור, כך עולה מעדויות העדים מטעמה של האישה ביחס למצג שהוצג בעת קביעת תנאי הנשואין)</w:t>
      </w:r>
      <w:r w:rsidRPr="00314748">
        <w:rPr>
          <w:rFonts w:ascii="David" w:hAnsi="David"/>
          <w:rtl/>
        </w:rPr>
        <w:t xml:space="preserve">. </w:t>
      </w:r>
    </w:p>
    <w:p w:rsidR="00314748" w:rsidRPr="00314748" w:rsidRDefault="00314748" w:rsidP="005B6C79">
      <w:pPr>
        <w:pStyle w:val="ae"/>
        <w:numPr>
          <w:ilvl w:val="0"/>
          <w:numId w:val="2"/>
        </w:numPr>
        <w:spacing w:after="120" w:line="360" w:lineRule="auto"/>
        <w:ind w:left="567" w:hanging="567"/>
        <w:contextualSpacing w:val="0"/>
        <w:jc w:val="both"/>
        <w:rPr>
          <w:rFonts w:ascii="David" w:hAnsi="David"/>
          <w:b/>
          <w:bCs/>
          <w:rtl/>
        </w:rPr>
      </w:pPr>
      <w:r w:rsidRPr="00314748">
        <w:rPr>
          <w:rFonts w:ascii="David" w:hAnsi="David"/>
          <w:rtl/>
        </w:rPr>
        <w:t>אוסיף, כי בתלה</w:t>
      </w:r>
      <w:r w:rsidR="00B504CC">
        <w:rPr>
          <w:rFonts w:ascii="David" w:hAnsi="David" w:hint="cs"/>
          <w:rtl/>
        </w:rPr>
        <w:t>"</w:t>
      </w:r>
      <w:r w:rsidRPr="00314748">
        <w:rPr>
          <w:rFonts w:ascii="David" w:hAnsi="David"/>
          <w:rtl/>
        </w:rPr>
        <w:t xml:space="preserve">מ (נצ') 60777-07-20 </w:t>
      </w:r>
      <w:r w:rsidRPr="00314748">
        <w:rPr>
          <w:rFonts w:ascii="David" w:hAnsi="David"/>
          <w:b/>
          <w:bCs/>
          <w:rtl/>
        </w:rPr>
        <w:t>ג.ס. נ' מ.ד.</w:t>
      </w:r>
      <w:r w:rsidRPr="00314748">
        <w:rPr>
          <w:rFonts w:ascii="David" w:hAnsi="David"/>
          <w:rtl/>
        </w:rPr>
        <w:t xml:space="preserve"> (14.4.2021) (</w:t>
      </w:r>
      <w:r w:rsidRPr="00314748">
        <w:rPr>
          <w:rFonts w:ascii="David" w:hAnsi="David"/>
          <w:b/>
          <w:bCs/>
          <w:rtl/>
        </w:rPr>
        <w:t>"ענין ג.ס."</w:t>
      </w:r>
      <w:r w:rsidRPr="00314748">
        <w:rPr>
          <w:rFonts w:ascii="David" w:hAnsi="David"/>
          <w:rtl/>
        </w:rPr>
        <w:t>) ק</w:t>
      </w:r>
      <w:r w:rsidR="005B6C79">
        <w:rPr>
          <w:rFonts w:ascii="David" w:hAnsi="David"/>
          <w:rtl/>
        </w:rPr>
        <w:t>בע כבוד השופט הבכיר א. זגורי,</w:t>
      </w:r>
      <w:r w:rsidR="005B6C79">
        <w:rPr>
          <w:rFonts w:ascii="David" w:hAnsi="David" w:hint="cs"/>
          <w:rtl/>
        </w:rPr>
        <w:t xml:space="preserve"> כי גם אם אכן מוקנה נכס במתנה </w:t>
      </w:r>
      <w:r w:rsidR="005B6C79">
        <w:rPr>
          <w:rFonts w:ascii="David" w:hAnsi="David" w:hint="cs"/>
          <w:b/>
          <w:bCs/>
          <w:rtl/>
        </w:rPr>
        <w:t>"</w:t>
      </w:r>
      <w:r w:rsidRPr="00314748">
        <w:rPr>
          <w:rFonts w:ascii="David" w:hAnsi="David"/>
          <w:b/>
          <w:bCs/>
          <w:rtl/>
        </w:rPr>
        <w:t>"כנהוג" בחברה הערבית</w:t>
      </w:r>
      <w:r w:rsidR="005B6C79">
        <w:rPr>
          <w:rFonts w:ascii="David" w:hAnsi="David" w:hint="cs"/>
          <w:b/>
          <w:bCs/>
          <w:rtl/>
        </w:rPr>
        <w:t xml:space="preserve">" </w:t>
      </w:r>
      <w:r w:rsidR="005B6C79" w:rsidRPr="005B6C79">
        <w:rPr>
          <w:rFonts w:ascii="David" w:hAnsi="David" w:hint="cs"/>
          <w:rtl/>
        </w:rPr>
        <w:t xml:space="preserve">אין בנוהג כדי להקנות זכות שכן </w:t>
      </w:r>
      <w:r w:rsidR="005B6C79">
        <w:rPr>
          <w:rFonts w:ascii="David" w:hAnsi="David" w:hint="cs"/>
          <w:b/>
          <w:bCs/>
          <w:rtl/>
        </w:rPr>
        <w:t xml:space="preserve">"לא ניתן לטעון </w:t>
      </w:r>
      <w:r w:rsidRPr="00314748">
        <w:rPr>
          <w:rFonts w:ascii="David" w:hAnsi="David"/>
          <w:b/>
          <w:bCs/>
          <w:rtl/>
        </w:rPr>
        <w:t xml:space="preserve">למנהג שעומד בניגוד לחוקי מדינת ישראל ובניגוד למרשם, ככזה שיכול להעניק לה זכויות בנכס". </w:t>
      </w:r>
    </w:p>
    <w:p w:rsidR="00314748" w:rsidRPr="00314748" w:rsidRDefault="00314748" w:rsidP="00B504CC">
      <w:pPr>
        <w:pStyle w:val="ae"/>
        <w:numPr>
          <w:ilvl w:val="0"/>
          <w:numId w:val="2"/>
        </w:numPr>
        <w:spacing w:after="120" w:line="360" w:lineRule="auto"/>
        <w:ind w:left="567" w:hanging="567"/>
        <w:contextualSpacing w:val="0"/>
        <w:jc w:val="both"/>
        <w:rPr>
          <w:rFonts w:ascii="David" w:hAnsi="David"/>
          <w:rtl/>
        </w:rPr>
      </w:pPr>
      <w:r w:rsidRPr="00314748">
        <w:rPr>
          <w:rFonts w:ascii="David" w:hAnsi="David"/>
          <w:rtl/>
        </w:rPr>
        <w:t xml:space="preserve">כך, גם אם היה מוכח הנוהג הנטען ביחס להקניית זכויות במקרקעין </w:t>
      </w:r>
      <w:r w:rsidR="00B504CC">
        <w:rPr>
          <w:rFonts w:ascii="David" w:hAnsi="David" w:hint="cs"/>
          <w:rtl/>
        </w:rPr>
        <w:t>בעת הסדרת תנאי</w:t>
      </w:r>
      <w:r w:rsidRPr="00314748">
        <w:rPr>
          <w:rFonts w:ascii="David" w:hAnsi="David"/>
          <w:rtl/>
        </w:rPr>
        <w:t xml:space="preserve"> נישואי הצדדים (</w:t>
      </w:r>
      <w:r w:rsidR="00B504CC">
        <w:rPr>
          <w:rFonts w:ascii="David" w:hAnsi="David" w:hint="cs"/>
          <w:rtl/>
        </w:rPr>
        <w:t xml:space="preserve">וכאמור, הדבר לא עולה מהעדויות </w:t>
      </w:r>
      <w:r w:rsidR="001249A7">
        <w:rPr>
          <w:rFonts w:ascii="David" w:hAnsi="David" w:hint="cs"/>
          <w:rtl/>
        </w:rPr>
        <w:t xml:space="preserve">שהביאה האישה </w:t>
      </w:r>
      <w:r w:rsidR="00B504CC">
        <w:rPr>
          <w:rFonts w:ascii="David" w:hAnsi="David" w:hint="cs"/>
          <w:rtl/>
        </w:rPr>
        <w:t>ביחס לטקס ואף לא ביחס לתוכן הסכם הנשואין</w:t>
      </w:r>
      <w:r w:rsidRPr="00314748">
        <w:rPr>
          <w:rFonts w:ascii="David" w:hAnsi="David"/>
          <w:rtl/>
        </w:rPr>
        <w:t>), אין בו כדי לבסס זכויות שלא בהתאם ל</w:t>
      </w:r>
      <w:r w:rsidR="00B504CC">
        <w:rPr>
          <w:rFonts w:ascii="David" w:hAnsi="David" w:hint="cs"/>
          <w:rtl/>
        </w:rPr>
        <w:t xml:space="preserve">הוראות החוק בנוגע לאופן הקניית זכויות במקרקעין. </w:t>
      </w:r>
    </w:p>
    <w:p w:rsidR="00EF719D" w:rsidRDefault="001249A7" w:rsidP="00EF719D">
      <w:pPr>
        <w:pStyle w:val="ae"/>
        <w:numPr>
          <w:ilvl w:val="0"/>
          <w:numId w:val="2"/>
        </w:numPr>
        <w:spacing w:after="120" w:line="360" w:lineRule="auto"/>
        <w:ind w:left="567" w:hanging="567"/>
        <w:contextualSpacing w:val="0"/>
        <w:jc w:val="both"/>
      </w:pPr>
      <w:r>
        <w:rPr>
          <w:rFonts w:hint="cs"/>
          <w:rtl/>
        </w:rPr>
        <w:t xml:space="preserve">אם כן, לסיום נקודה זו </w:t>
      </w:r>
      <w:r w:rsidR="00EF719D">
        <w:rPr>
          <w:rFonts w:hint="cs"/>
          <w:rtl/>
        </w:rPr>
        <w:t>-</w:t>
      </w:r>
      <w:r>
        <w:rPr>
          <w:rFonts w:hint="cs"/>
          <w:rtl/>
        </w:rPr>
        <w:t xml:space="preserve"> </w:t>
      </w:r>
    </w:p>
    <w:p w:rsidR="00314748" w:rsidRDefault="001249A7" w:rsidP="00CB230F">
      <w:pPr>
        <w:pStyle w:val="ae"/>
        <w:spacing w:after="120" w:line="360" w:lineRule="auto"/>
        <w:ind w:left="567"/>
        <w:contextualSpacing w:val="0"/>
        <w:jc w:val="both"/>
      </w:pPr>
      <w:r>
        <w:rPr>
          <w:rFonts w:hint="cs"/>
          <w:rtl/>
        </w:rPr>
        <w:t xml:space="preserve">האישה לא הוכיחה שהוצג מצג המקנה לה </w:t>
      </w:r>
      <w:r w:rsidR="00EF719D">
        <w:rPr>
          <w:rFonts w:hint="cs"/>
          <w:rtl/>
        </w:rPr>
        <w:t xml:space="preserve">או לאיש </w:t>
      </w:r>
      <w:r>
        <w:rPr>
          <w:rFonts w:hint="cs"/>
          <w:rtl/>
        </w:rPr>
        <w:t xml:space="preserve">זכויות בעלות בנכס טרם או בעת הסדרת תנאי הנשואין; האישה לא הוכיחה הסתמכות על מצג זה ואף לא פעלה על פיו משך כל השנים; גם אם היה מוכח מצג כזה אין בעצם קיומו של המצג כדי להקנות זכויות; לא הוכח נוהג של הקניית זכויות בעלות בעת הסדרת תנאי נשואין או טרם הנשואין וגם אילו היה מוכח נוהג שכזה, אין בעצם קיומו של נוהג כדי להתגבר על דרישות הדין בכל הנוגע לאופן הקניית זכויות במקרקעין. </w:t>
      </w:r>
      <w:r w:rsidR="00E9487A">
        <w:rPr>
          <w:rFonts w:hint="cs"/>
          <w:rtl/>
        </w:rPr>
        <w:t xml:space="preserve">על כן טענתה הראשונה של האישה בדבר הקניית הזכויות טרם הנשואין / הצגת מצג של הקניית זכויות טרם הנשואין וכתנאי להם </w:t>
      </w:r>
      <w:r w:rsidR="00CB230F">
        <w:rPr>
          <w:rFonts w:hint="cs"/>
          <w:rtl/>
        </w:rPr>
        <w:t>-</w:t>
      </w:r>
      <w:r w:rsidR="00E9487A">
        <w:rPr>
          <w:rFonts w:hint="cs"/>
          <w:rtl/>
        </w:rPr>
        <w:t xml:space="preserve"> נדחית. </w:t>
      </w:r>
    </w:p>
    <w:p w:rsidR="001249A7" w:rsidRPr="00F23981" w:rsidRDefault="001249A7" w:rsidP="001249A7">
      <w:pPr>
        <w:spacing w:after="120" w:line="360" w:lineRule="auto"/>
        <w:jc w:val="both"/>
        <w:rPr>
          <w:b/>
          <w:bCs/>
          <w:rtl/>
        </w:rPr>
      </w:pPr>
      <w:r w:rsidRPr="00F23981">
        <w:rPr>
          <w:rFonts w:hint="cs"/>
          <w:b/>
          <w:bCs/>
          <w:rtl/>
        </w:rPr>
        <w:t>א.</w:t>
      </w:r>
      <w:r>
        <w:rPr>
          <w:rFonts w:hint="cs"/>
          <w:b/>
          <w:bCs/>
          <w:rtl/>
        </w:rPr>
        <w:t>2.1.5</w:t>
      </w:r>
      <w:r w:rsidRPr="00F23981">
        <w:rPr>
          <w:rFonts w:hint="cs"/>
          <w:b/>
          <w:bCs/>
          <w:rtl/>
        </w:rPr>
        <w:t xml:space="preserve"> </w:t>
      </w:r>
      <w:r w:rsidRPr="00F23981">
        <w:rPr>
          <w:rFonts w:hint="cs"/>
          <w:b/>
          <w:bCs/>
          <w:u w:val="single"/>
          <w:rtl/>
        </w:rPr>
        <w:t xml:space="preserve">טענת האישה, כי </w:t>
      </w:r>
      <w:r>
        <w:rPr>
          <w:rFonts w:hint="cs"/>
          <w:b/>
          <w:bCs/>
          <w:u w:val="single"/>
          <w:rtl/>
        </w:rPr>
        <w:t>גם אם מדובר ב"נכס חיצוני" הוכחה לגביו כוונת שיתוף ספציפית</w:t>
      </w:r>
    </w:p>
    <w:p w:rsidR="00195A3B" w:rsidRDefault="00851B3C" w:rsidP="00851B3C">
      <w:pPr>
        <w:pStyle w:val="ae"/>
        <w:numPr>
          <w:ilvl w:val="0"/>
          <w:numId w:val="2"/>
        </w:numPr>
        <w:spacing w:after="120" w:line="360" w:lineRule="auto"/>
        <w:ind w:left="567" w:hanging="567"/>
        <w:contextualSpacing w:val="0"/>
        <w:jc w:val="both"/>
      </w:pPr>
      <w:r>
        <w:rPr>
          <w:rFonts w:hint="cs"/>
          <w:rtl/>
        </w:rPr>
        <w:lastRenderedPageBreak/>
        <w:t xml:space="preserve">מחוות דעת השמאי עולה, כי בניית הנכס הושלמה לפני נישואי הצדדים (בחוות הדעת המתוקנת ציין המומחה, בהסתמך על בדיקת המסמכים ועיון בתצלומים, כי הבניה התבצעה בשנים 2001-1997). </w:t>
      </w:r>
    </w:p>
    <w:p w:rsidR="00851B3C" w:rsidRDefault="00195A3B" w:rsidP="00195A3B">
      <w:pPr>
        <w:pStyle w:val="ae"/>
        <w:spacing w:after="120" w:line="360" w:lineRule="auto"/>
        <w:ind w:left="567"/>
        <w:contextualSpacing w:val="0"/>
        <w:jc w:val="both"/>
        <w:rPr>
          <w:rtl/>
        </w:rPr>
      </w:pPr>
      <w:r>
        <w:rPr>
          <w:rFonts w:hint="cs"/>
          <w:rtl/>
        </w:rPr>
        <w:t xml:space="preserve">האישה לא הכחישה שהנכס נרכש על ידי האב בשנת 1987 וכי הבית נבנה על ידי האב (עמ' 41, ש' 20-16) -  </w:t>
      </w:r>
      <w:r w:rsidR="00851B3C">
        <w:rPr>
          <w:rFonts w:hint="cs"/>
          <w:rtl/>
        </w:rPr>
        <w:t xml:space="preserve">כלומר, </w:t>
      </w:r>
      <w:r w:rsidR="00851B3C" w:rsidRPr="00A66435">
        <w:rPr>
          <w:rFonts w:hint="cs"/>
          <w:b/>
          <w:bCs/>
          <w:rtl/>
        </w:rPr>
        <w:t>מדובר בנכס שלא נצבר במהלך תקופת חיי הנישואין.</w:t>
      </w:r>
      <w:r w:rsidR="00851B3C">
        <w:rPr>
          <w:rFonts w:hint="cs"/>
          <w:rtl/>
        </w:rPr>
        <w:t xml:space="preserve"> </w:t>
      </w:r>
    </w:p>
    <w:p w:rsidR="002A3B68" w:rsidRDefault="00A66435" w:rsidP="00CB230F">
      <w:pPr>
        <w:pStyle w:val="ae"/>
        <w:numPr>
          <w:ilvl w:val="0"/>
          <w:numId w:val="2"/>
        </w:numPr>
        <w:spacing w:after="120" w:line="360" w:lineRule="auto"/>
        <w:ind w:left="567" w:hanging="567"/>
        <w:contextualSpacing w:val="0"/>
        <w:jc w:val="both"/>
      </w:pPr>
      <w:r>
        <w:rPr>
          <w:rFonts w:hint="cs"/>
          <w:rtl/>
        </w:rPr>
        <w:t xml:space="preserve">האישה טענה, כי מאחר ומדובר בדירת המגורים של הצדדים וההלכות המקילות לגבי דירת מגורים, לאור תקופת המגורים הארוכה, הולדת שלושה ילדים והמגורים המשותפים עמם ואופן ניהול החיים בחברה המסורתית </w:t>
      </w:r>
      <w:r w:rsidR="00CB230F">
        <w:rPr>
          <w:rFonts w:hint="cs"/>
          <w:rtl/>
        </w:rPr>
        <w:t>-</w:t>
      </w:r>
      <w:r>
        <w:rPr>
          <w:rFonts w:hint="cs"/>
          <w:rtl/>
        </w:rPr>
        <w:t xml:space="preserve"> מתקיימת כוונת שיתוף ספציפית בנכס. </w:t>
      </w:r>
    </w:p>
    <w:p w:rsidR="00CB230F" w:rsidRDefault="00A66435" w:rsidP="00A66435">
      <w:pPr>
        <w:pStyle w:val="ae"/>
        <w:numPr>
          <w:ilvl w:val="0"/>
          <w:numId w:val="2"/>
        </w:numPr>
        <w:spacing w:after="120" w:line="360" w:lineRule="auto"/>
        <w:ind w:left="567" w:hanging="567"/>
        <w:contextualSpacing w:val="0"/>
        <w:jc w:val="both"/>
      </w:pPr>
      <w:r>
        <w:rPr>
          <w:rFonts w:hint="cs"/>
          <w:rtl/>
        </w:rPr>
        <w:t xml:space="preserve">אני סבורה שיש קושי בסיסי עם הטיעון. כוונת שיתוף ספציפית מתייחסת לכוונת </w:t>
      </w:r>
      <w:r w:rsidRPr="00A66435">
        <w:rPr>
          <w:rFonts w:hint="cs"/>
          <w:b/>
          <w:bCs/>
          <w:rtl/>
        </w:rPr>
        <w:t>בני זוג</w:t>
      </w:r>
      <w:r>
        <w:rPr>
          <w:rFonts w:hint="cs"/>
          <w:rtl/>
        </w:rPr>
        <w:t xml:space="preserve"> להחיל משטר שיתופי ביחס לנכס שלא נכנס במסת האיזון (בין מאחר ומדובר בנכס שמוחרג ממשטר האיזון בהתאם להוראות חוק יחסי ממון בין בני זוג, תשל"ג-1973 (ירושה, מתנה, נצבר קודם למועד הנשואין וכו') ובין במצב בו לא חל על הצדדים החוק האמור (ידועים בציבור או נישואין מוקדמים להחלת החוק). </w:t>
      </w:r>
    </w:p>
    <w:p w:rsidR="00CB230F" w:rsidRDefault="00A66435" w:rsidP="00CB230F">
      <w:pPr>
        <w:pStyle w:val="ae"/>
        <w:spacing w:after="120" w:line="360" w:lineRule="auto"/>
        <w:ind w:left="567"/>
        <w:contextualSpacing w:val="0"/>
        <w:jc w:val="both"/>
        <w:rPr>
          <w:rtl/>
        </w:rPr>
      </w:pPr>
      <w:r>
        <w:rPr>
          <w:rFonts w:hint="cs"/>
          <w:rtl/>
        </w:rPr>
        <w:t xml:space="preserve">לא ניתן לבחון כוונת שיתוף </w:t>
      </w:r>
      <w:r w:rsidR="00471F9E">
        <w:rPr>
          <w:rFonts w:hint="cs"/>
          <w:rtl/>
        </w:rPr>
        <w:t xml:space="preserve">ספציפית בנכס חיצוני כאשר הנכס אינו בבעלות מי מבני הזוג. </w:t>
      </w:r>
    </w:p>
    <w:p w:rsidR="00A66435" w:rsidRDefault="00471F9E" w:rsidP="00CB230F">
      <w:pPr>
        <w:pStyle w:val="ae"/>
        <w:spacing w:after="120" w:line="360" w:lineRule="auto"/>
        <w:ind w:left="567"/>
        <w:contextualSpacing w:val="0"/>
        <w:jc w:val="both"/>
      </w:pPr>
      <w:r>
        <w:rPr>
          <w:rFonts w:hint="cs"/>
          <w:rtl/>
        </w:rPr>
        <w:t xml:space="preserve">כלומר תנאי מוקדם לדיון בטענת האישה היה הוכחה שזכויות הבעלות בנכס הן בידי האיש. </w:t>
      </w:r>
    </w:p>
    <w:p w:rsidR="00471F9E" w:rsidRDefault="00471F9E" w:rsidP="00471F9E">
      <w:pPr>
        <w:pStyle w:val="ae"/>
        <w:spacing w:after="120" w:line="360" w:lineRule="auto"/>
        <w:ind w:left="567"/>
        <w:contextualSpacing w:val="0"/>
        <w:jc w:val="both"/>
        <w:rPr>
          <w:rtl/>
        </w:rPr>
      </w:pPr>
      <w:r>
        <w:rPr>
          <w:rFonts w:hint="cs"/>
          <w:rtl/>
        </w:rPr>
        <w:t xml:space="preserve">כאמור, </w:t>
      </w:r>
      <w:r w:rsidRPr="00471F9E">
        <w:rPr>
          <w:rFonts w:hint="cs"/>
          <w:b/>
          <w:bCs/>
          <w:rtl/>
        </w:rPr>
        <w:t xml:space="preserve">האב </w:t>
      </w:r>
      <w:r>
        <w:rPr>
          <w:rFonts w:hint="cs"/>
          <w:rtl/>
        </w:rPr>
        <w:t xml:space="preserve">הוא בעל הזכויות בנכס. לא הוכחה העברת הזכויות לידי האיש (אני מפנה לדיון בפרק א.1.1.5 בענין אופן הקניית זכויות במקרקעין, בענין העדר משמעות לכך שהאיש הוא בעל ההיתר בהיבט של זכות בעלות). כך, משעה שהזכויות אינן זכויות של האיש אלא של אביו, המסד הראשון הנדרש לדיון בטענת שיתוף - היות הזכות בידי מי מבני הזוג - אינו קיים. משכך, כל הטענות בענין מעמדה של דירת המגורים, משך התקופה בה חיו הצדדים בנכס ואורח חייהם של הצדדים אינן רלבנטיות בנסיבות בהן לא מדובר בנכס של אחד מבני הזוג כך. </w:t>
      </w:r>
    </w:p>
    <w:p w:rsidR="002A3B68" w:rsidRDefault="00471F9E" w:rsidP="00471F9E">
      <w:pPr>
        <w:pStyle w:val="ae"/>
        <w:numPr>
          <w:ilvl w:val="0"/>
          <w:numId w:val="2"/>
        </w:numPr>
        <w:spacing w:after="120" w:line="360" w:lineRule="auto"/>
        <w:ind w:left="567" w:hanging="567"/>
        <w:contextualSpacing w:val="0"/>
        <w:jc w:val="both"/>
      </w:pPr>
      <w:r>
        <w:rPr>
          <w:rFonts w:hint="cs"/>
          <w:rtl/>
        </w:rPr>
        <w:t xml:space="preserve">בהקשר הזה אתייחס לטענת האישה, </w:t>
      </w:r>
      <w:r w:rsidR="002A3B68">
        <w:rPr>
          <w:rFonts w:hint="cs"/>
          <w:rtl/>
        </w:rPr>
        <w:t xml:space="preserve">כי האב פעל להברחת הנכס בכך שרשם את הזכויות על שמו בעת הסכסוך. </w:t>
      </w:r>
    </w:p>
    <w:p w:rsidR="007A1FAD" w:rsidRDefault="007A1FAD" w:rsidP="007A1FAD">
      <w:pPr>
        <w:pStyle w:val="ae"/>
        <w:spacing w:after="120" w:line="360" w:lineRule="auto"/>
        <w:ind w:left="567"/>
        <w:contextualSpacing w:val="0"/>
        <w:jc w:val="both"/>
      </w:pPr>
      <w:r>
        <w:rPr>
          <w:rFonts w:hint="cs"/>
          <w:rtl/>
        </w:rPr>
        <w:t>האב העיד, כי השלמת הרישום בוצעה לאחר שנים בשל עלויות הרישום (עמ' 34, ש' 15-9)</w:t>
      </w:r>
    </w:p>
    <w:p w:rsidR="002A3B68" w:rsidRDefault="002A3B68" w:rsidP="00741F84">
      <w:pPr>
        <w:pStyle w:val="ae"/>
        <w:spacing w:after="120" w:line="360" w:lineRule="auto"/>
        <w:ind w:left="567"/>
        <w:contextualSpacing w:val="0"/>
        <w:jc w:val="both"/>
        <w:rPr>
          <w:rtl/>
        </w:rPr>
      </w:pPr>
      <w:r>
        <w:rPr>
          <w:rFonts w:hint="cs"/>
          <w:rtl/>
        </w:rPr>
        <w:t xml:space="preserve">העדה מטעמה </w:t>
      </w:r>
      <w:r w:rsidR="00CA410E">
        <w:rPr>
          <w:rFonts w:hint="cs"/>
          <w:rtl/>
        </w:rPr>
        <w:t xml:space="preserve">של האישה </w:t>
      </w:r>
      <w:r>
        <w:rPr>
          <w:rFonts w:hint="cs"/>
          <w:rtl/>
        </w:rPr>
        <w:t>טענה, כי לאחר שהחל הסכסוך "</w:t>
      </w:r>
      <w:r w:rsidRPr="00A96087">
        <w:rPr>
          <w:rFonts w:hint="cs"/>
          <w:b/>
          <w:bCs/>
          <w:rtl/>
        </w:rPr>
        <w:t>הם רצו שהב</w:t>
      </w:r>
      <w:r>
        <w:rPr>
          <w:rFonts w:hint="cs"/>
          <w:b/>
          <w:bCs/>
          <w:rtl/>
        </w:rPr>
        <w:t>ית יהיה רשו</w:t>
      </w:r>
      <w:r w:rsidRPr="00A96087">
        <w:rPr>
          <w:rFonts w:hint="cs"/>
          <w:b/>
          <w:bCs/>
          <w:rtl/>
        </w:rPr>
        <w:t>ם</w:t>
      </w:r>
      <w:r>
        <w:rPr>
          <w:rFonts w:hint="cs"/>
          <w:b/>
          <w:bCs/>
          <w:rtl/>
        </w:rPr>
        <w:t xml:space="preserve"> </w:t>
      </w:r>
      <w:r w:rsidRPr="00A96087">
        <w:rPr>
          <w:rFonts w:hint="cs"/>
          <w:b/>
          <w:bCs/>
          <w:rtl/>
        </w:rPr>
        <w:t xml:space="preserve">על שם </w:t>
      </w:r>
      <w:r w:rsidR="00741F84">
        <w:rPr>
          <w:rFonts w:hint="cs"/>
          <w:b/>
          <w:bCs/>
          <w:rtl/>
        </w:rPr>
        <w:t>----</w:t>
      </w:r>
      <w:r w:rsidRPr="00A96087">
        <w:rPr>
          <w:rFonts w:hint="cs"/>
          <w:b/>
          <w:bCs/>
          <w:rtl/>
        </w:rPr>
        <w:t xml:space="preserve"> כדי שהיא תאבד את כל הזכויות</w:t>
      </w:r>
      <w:r>
        <w:rPr>
          <w:rFonts w:hint="cs"/>
          <w:rtl/>
        </w:rPr>
        <w:t xml:space="preserve">" (עמ' 23, ש' 4-3) ואולם טרם הרישום, </w:t>
      </w:r>
      <w:r w:rsidRPr="00CA410E">
        <w:rPr>
          <w:rFonts w:hint="cs"/>
          <w:u w:val="single"/>
          <w:rtl/>
        </w:rPr>
        <w:t>הזכויות לא היו רשומות על שם האיש</w:t>
      </w:r>
      <w:r>
        <w:rPr>
          <w:rFonts w:hint="cs"/>
          <w:rtl/>
        </w:rPr>
        <w:t xml:space="preserve"> והרישום תואם את התנאים בהסכם המכר של הנכס </w:t>
      </w:r>
      <w:r w:rsidR="00CA410E">
        <w:rPr>
          <w:rFonts w:hint="cs"/>
          <w:rtl/>
        </w:rPr>
        <w:t xml:space="preserve">משנת 1987 </w:t>
      </w:r>
      <w:r>
        <w:rPr>
          <w:rFonts w:hint="cs"/>
          <w:rtl/>
        </w:rPr>
        <w:t xml:space="preserve">על כן אין בעצם הרישום בעת הסכסוך כדי להוכיח הברחה שכן לא מדובר בהברחת נכס שהיה </w:t>
      </w:r>
      <w:r>
        <w:rPr>
          <w:rFonts w:hint="cs"/>
          <w:rtl/>
        </w:rPr>
        <w:lastRenderedPageBreak/>
        <w:t xml:space="preserve">בבעלות האיש והועבר לאב כדי למנוע זכותה של האישה אלא בהסדרת זכויותיו של האב בהתאם להסכם המכר (גם אם העיתוי נועד לוודא שהדברים מוסדרים בעת הסכסוך). </w:t>
      </w:r>
    </w:p>
    <w:p w:rsidR="002A3B68" w:rsidRDefault="002A3B68" w:rsidP="002A3B68">
      <w:pPr>
        <w:pStyle w:val="ae"/>
        <w:spacing w:after="120" w:line="360" w:lineRule="auto"/>
        <w:ind w:left="567"/>
        <w:contextualSpacing w:val="0"/>
        <w:jc w:val="both"/>
        <w:rPr>
          <w:rtl/>
        </w:rPr>
      </w:pPr>
      <w:r>
        <w:rPr>
          <w:rFonts w:hint="cs"/>
          <w:rtl/>
        </w:rPr>
        <w:t>מעבר לאמור, דודה של האישה אישר כי חתם על כתב הסכמה ביחס להעברת הזכויות בנכס על שם האב (עמ' 13, ש' 34-13</w:t>
      </w:r>
      <w:r w:rsidR="00793DA3">
        <w:rPr>
          <w:rFonts w:hint="cs"/>
          <w:rtl/>
        </w:rPr>
        <w:t>; כתב ההסכמה צורף כנספח לתצהיר המשלים שהוגש ביום 1.6.2022</w:t>
      </w:r>
      <w:r>
        <w:rPr>
          <w:rFonts w:hint="cs"/>
          <w:rtl/>
        </w:rPr>
        <w:t xml:space="preserve">), כך שלא היתה התנגדות, בזמן אמת, ותוך כדי הסכסוך לכך שהזכויות ירשמו על שם האב. </w:t>
      </w:r>
    </w:p>
    <w:p w:rsidR="002A3B68" w:rsidRDefault="002A3B68" w:rsidP="002A3B68">
      <w:pPr>
        <w:pStyle w:val="ae"/>
        <w:spacing w:after="120" w:line="360" w:lineRule="auto"/>
        <w:ind w:left="567"/>
        <w:contextualSpacing w:val="0"/>
        <w:jc w:val="both"/>
        <w:rPr>
          <w:rtl/>
        </w:rPr>
      </w:pPr>
      <w:r>
        <w:rPr>
          <w:rFonts w:hint="cs"/>
          <w:rtl/>
        </w:rPr>
        <w:t>עוד יצוין, כי דודה של האישה אישר, כי הקרקע עליו בנוי הנכס היא בבעלות האב (עמ' 13, ש' 20-17).</w:t>
      </w:r>
    </w:p>
    <w:p w:rsidR="002A3B68" w:rsidRDefault="00CA410E" w:rsidP="002A3B68">
      <w:pPr>
        <w:pStyle w:val="ae"/>
        <w:numPr>
          <w:ilvl w:val="0"/>
          <w:numId w:val="2"/>
        </w:numPr>
        <w:spacing w:after="120" w:line="360" w:lineRule="auto"/>
        <w:ind w:left="567" w:hanging="567"/>
        <w:contextualSpacing w:val="0"/>
        <w:jc w:val="both"/>
        <w:rPr>
          <w:rtl/>
        </w:rPr>
      </w:pPr>
      <w:r>
        <w:rPr>
          <w:rFonts w:hint="cs"/>
          <w:rtl/>
        </w:rPr>
        <w:t xml:space="preserve">על כן, לסיכום נקודה זו, איני מקבלת את הטענה החלופית שהציגה האישה בדבר הקניית זכויות מכח שיתוף שכן לא הוכח שהנכס הוא בבעלות האיש כך שאין בסיס לדון בסוגיית השיתוף בין בני הזוג שעה שלא מדובר בנכס שבבעלותו של אחד מבני הזוג. </w:t>
      </w:r>
    </w:p>
    <w:p w:rsidR="00CA410E" w:rsidRPr="00CA410E" w:rsidRDefault="00CA410E" w:rsidP="00CA410E">
      <w:pPr>
        <w:spacing w:after="120" w:line="360" w:lineRule="auto"/>
        <w:jc w:val="both"/>
        <w:rPr>
          <w:b/>
          <w:bCs/>
          <w:rtl/>
        </w:rPr>
      </w:pPr>
      <w:r w:rsidRPr="00CA410E">
        <w:rPr>
          <w:rFonts w:hint="cs"/>
          <w:b/>
          <w:bCs/>
          <w:rtl/>
        </w:rPr>
        <w:t xml:space="preserve">א.2.5 </w:t>
      </w:r>
      <w:r>
        <w:rPr>
          <w:rFonts w:hint="cs"/>
          <w:b/>
          <w:bCs/>
          <w:u w:val="single"/>
          <w:rtl/>
        </w:rPr>
        <w:t>המשמעות של הקניית זכות מגורים בנ</w:t>
      </w:r>
      <w:r w:rsidRPr="00B514FE">
        <w:rPr>
          <w:rFonts w:hint="cs"/>
          <w:b/>
          <w:bCs/>
          <w:u w:val="single"/>
          <w:rtl/>
        </w:rPr>
        <w:t xml:space="preserve">כס </w:t>
      </w:r>
      <w:r w:rsidR="00B514FE" w:rsidRPr="00B514FE">
        <w:rPr>
          <w:rFonts w:hint="cs"/>
          <w:b/>
          <w:bCs/>
          <w:u w:val="single"/>
          <w:rtl/>
        </w:rPr>
        <w:t xml:space="preserve">וטענת האישה לזכותה לקביעת פיצוי </w:t>
      </w:r>
    </w:p>
    <w:p w:rsidR="00AA1EDB" w:rsidRDefault="00AA1EDB" w:rsidP="00AA1EDB">
      <w:pPr>
        <w:pStyle w:val="ae"/>
        <w:numPr>
          <w:ilvl w:val="0"/>
          <w:numId w:val="2"/>
        </w:numPr>
        <w:spacing w:after="120" w:line="360" w:lineRule="auto"/>
        <w:ind w:left="567" w:hanging="567"/>
        <w:contextualSpacing w:val="0"/>
        <w:jc w:val="both"/>
      </w:pPr>
      <w:r>
        <w:rPr>
          <w:rFonts w:hint="cs"/>
          <w:rtl/>
        </w:rPr>
        <w:t xml:space="preserve">כאמור, האב טען כי התיר לצדדים את השימוש בנכס. </w:t>
      </w:r>
    </w:p>
    <w:p w:rsidR="00AA1EDB" w:rsidRDefault="00AA1EDB" w:rsidP="00AA1EDB">
      <w:pPr>
        <w:pStyle w:val="ae"/>
        <w:spacing w:after="120" w:line="360" w:lineRule="auto"/>
        <w:ind w:left="567"/>
        <w:contextualSpacing w:val="0"/>
        <w:jc w:val="both"/>
        <w:rPr>
          <w:rtl/>
        </w:rPr>
      </w:pPr>
      <w:r>
        <w:rPr>
          <w:rFonts w:hint="cs"/>
          <w:rtl/>
        </w:rPr>
        <w:t>בעדותו עמד האב על כך שהנכס, כמו גם הבית בו מתגורר בן נוסף שלו, הוא שלו ובידיו האפשרות להפסיק את השימוש של הבנים בנכס בכל עת (עמ' 32, ש' 27-18).</w:t>
      </w:r>
    </w:p>
    <w:p w:rsidR="00AA1EDB" w:rsidRDefault="00AA1EDB" w:rsidP="00AA1EDB">
      <w:pPr>
        <w:pStyle w:val="ae"/>
        <w:spacing w:after="120" w:line="360" w:lineRule="auto"/>
        <w:ind w:left="567"/>
        <w:contextualSpacing w:val="0"/>
        <w:jc w:val="both"/>
      </w:pPr>
      <w:r>
        <w:rPr>
          <w:rFonts w:hint="cs"/>
          <w:rtl/>
        </w:rPr>
        <w:t xml:space="preserve">המסקנה דבר הקנית זכות שימוש ומגורים בנכס עולה גם מעדויות העדים מטעמה של האישה (ראו פירוט בפרק א.1.1.5 לעיל). </w:t>
      </w:r>
    </w:p>
    <w:p w:rsidR="00AA1EDB" w:rsidRDefault="00AA1EDB" w:rsidP="00AA1EDB">
      <w:pPr>
        <w:pStyle w:val="ae"/>
        <w:spacing w:after="120" w:line="360" w:lineRule="auto"/>
        <w:ind w:left="567"/>
        <w:contextualSpacing w:val="0"/>
        <w:jc w:val="both"/>
        <w:rPr>
          <w:rtl/>
        </w:rPr>
      </w:pPr>
      <w:r>
        <w:rPr>
          <w:rFonts w:hint="cs"/>
          <w:rtl/>
        </w:rPr>
        <w:t xml:space="preserve">על כן, </w:t>
      </w:r>
      <w:r w:rsidRPr="00DA76E0">
        <w:rPr>
          <w:rFonts w:hint="cs"/>
          <w:b/>
          <w:bCs/>
          <w:rtl/>
        </w:rPr>
        <w:t>על בסיס העדויות ובהעדר ראיה תומכת בטענת האישה בענין הקניית זכויות קנייניות, אני קובעת כי הוענקה לאיש ולאישה רשות החזקה והשימוש בנכס (ללא הקניית זכות בעלות).</w:t>
      </w:r>
    </w:p>
    <w:p w:rsidR="00B514FE" w:rsidRPr="00B514FE" w:rsidRDefault="00B514FE" w:rsidP="00B514FE">
      <w:pPr>
        <w:pStyle w:val="ae"/>
        <w:numPr>
          <w:ilvl w:val="0"/>
          <w:numId w:val="2"/>
        </w:numPr>
        <w:spacing w:after="120" w:line="360" w:lineRule="auto"/>
        <w:ind w:left="567" w:hanging="567"/>
        <w:contextualSpacing w:val="0"/>
        <w:jc w:val="both"/>
        <w:rPr>
          <w:rtl/>
        </w:rPr>
      </w:pPr>
      <w:r>
        <w:rPr>
          <w:rFonts w:hint="cs"/>
          <w:rtl/>
        </w:rPr>
        <w:t xml:space="preserve">האישה טענה לזכותה לקביעת פיצוי על סמך ההסתמכות שלה על המצג וציינה, כי אמנם לא נקבעים פיצויים על ביטול רשות שימוש בנכס אך ניתן לקבוע פיצוי על סמך הסכם משתמע </w:t>
      </w:r>
      <w:r w:rsidRPr="00B514FE">
        <w:rPr>
          <w:rFonts w:hint="cs"/>
          <w:rtl/>
        </w:rPr>
        <w:t>בין בעל המקרקעין לבעל הרשות כאשר נ</w:t>
      </w:r>
      <w:r>
        <w:rPr>
          <w:rFonts w:hint="cs"/>
          <w:rtl/>
        </w:rPr>
        <w:t>הוג לקבוע חישוב של שווי דמי שכי</w:t>
      </w:r>
      <w:r w:rsidRPr="00B514FE">
        <w:rPr>
          <w:rFonts w:hint="cs"/>
          <w:rtl/>
        </w:rPr>
        <w:t>ר</w:t>
      </w:r>
      <w:r>
        <w:rPr>
          <w:rFonts w:hint="cs"/>
          <w:rtl/>
        </w:rPr>
        <w:t>ו</w:t>
      </w:r>
      <w:r w:rsidRPr="00B514FE">
        <w:rPr>
          <w:rFonts w:hint="cs"/>
          <w:rtl/>
        </w:rPr>
        <w:t>ת למספר שנים קדימה או לפי שווי המבנה</w:t>
      </w:r>
      <w:r>
        <w:rPr>
          <w:rFonts w:hint="cs"/>
          <w:rtl/>
        </w:rPr>
        <w:t>.</w:t>
      </w:r>
      <w:r w:rsidRPr="00B514FE">
        <w:rPr>
          <w:rFonts w:hint="cs"/>
          <w:rtl/>
        </w:rPr>
        <w:t xml:space="preserve"> </w:t>
      </w:r>
      <w:r w:rsidR="00CB230F">
        <w:rPr>
          <w:rFonts w:hint="cs"/>
          <w:rtl/>
        </w:rPr>
        <w:t xml:space="preserve">האישה הציגה מספר חלופות לאופן קביעת פיצוי כספי על ביטול רישיון במקרקעין אולם הדוגמאות שהוצגו אינן משקפות את ההלכה בענין זה. </w:t>
      </w:r>
    </w:p>
    <w:p w:rsidR="00AA1EDB" w:rsidRDefault="00AA1EDB" w:rsidP="00AA1EDB">
      <w:pPr>
        <w:pStyle w:val="ae"/>
        <w:numPr>
          <w:ilvl w:val="0"/>
          <w:numId w:val="2"/>
        </w:numPr>
        <w:spacing w:after="120" w:line="360" w:lineRule="auto"/>
        <w:ind w:left="567" w:hanging="567"/>
        <w:contextualSpacing w:val="0"/>
        <w:jc w:val="both"/>
        <w:rPr>
          <w:rFonts w:ascii="David" w:hAnsi="David"/>
          <w:color w:val="000000"/>
        </w:rPr>
      </w:pPr>
      <w:r>
        <w:rPr>
          <w:rFonts w:ascii="David" w:hAnsi="David"/>
          <w:color w:val="000000"/>
          <w:rtl/>
        </w:rPr>
        <w:t xml:space="preserve">בבע"מ 1894/16 </w:t>
      </w:r>
      <w:r>
        <w:rPr>
          <w:rFonts w:ascii="David" w:hAnsi="David"/>
          <w:b/>
          <w:bCs/>
          <w:color w:val="000000"/>
          <w:rtl/>
        </w:rPr>
        <w:t xml:space="preserve">פלוני נ' פלונית </w:t>
      </w:r>
      <w:r>
        <w:rPr>
          <w:rFonts w:ascii="David" w:hAnsi="David"/>
          <w:color w:val="000000"/>
          <w:rtl/>
        </w:rPr>
        <w:t>(10.5.2017) חידד בית המשפט את ההלכה הנוגעת לקביעת פיצוי בגין ביטול רשות במקרקעין</w:t>
      </w:r>
      <w:r w:rsidR="00A308DE">
        <w:rPr>
          <w:rFonts w:ascii="David" w:hAnsi="David" w:hint="cs"/>
          <w:color w:val="000000"/>
          <w:rtl/>
        </w:rPr>
        <w:t xml:space="preserve"> וקבע, כי ביטול הרשות מקנה זכות לפיצוי בגין השבחת הקרקע מכח שיקולי צדק וכי הפיצוי יקבע בשווי השקעת בר הרשות בנכס והשקעתו. </w:t>
      </w:r>
    </w:p>
    <w:p w:rsidR="00AA1EDB" w:rsidRDefault="00AA1EDB" w:rsidP="00AA1EDB">
      <w:pPr>
        <w:spacing w:after="120" w:line="360" w:lineRule="auto"/>
        <w:ind w:left="720"/>
        <w:jc w:val="both"/>
        <w:rPr>
          <w:rFonts w:ascii="David" w:hAnsi="David"/>
          <w:color w:val="000000"/>
          <w:rtl/>
        </w:rPr>
      </w:pPr>
      <w:r>
        <w:rPr>
          <w:rFonts w:ascii="David" w:hAnsi="David"/>
          <w:color w:val="000000"/>
          <w:rtl/>
        </w:rPr>
        <w:lastRenderedPageBreak/>
        <w:t>בית המשפט העליון קבע, כי בענין זה קיימת הלכה פסוקה ומחייבת הקובעת, כי "</w:t>
      </w:r>
      <w:r>
        <w:rPr>
          <w:rFonts w:ascii="David" w:hAnsi="David"/>
          <w:b/>
          <w:bCs/>
          <w:color w:val="000000"/>
          <w:rtl/>
        </w:rPr>
        <w:t xml:space="preserve">רישיון הניתן לביטול אינו מקנה לבעליו זכות לקבל פיצויים בעקבות ביטל הרישיון, אלא פיצויים בגין השבחת הקרקע בלבד ואף זאת מכח שיקולי צדק" </w:t>
      </w:r>
      <w:r>
        <w:rPr>
          <w:rFonts w:ascii="David" w:hAnsi="David"/>
          <w:color w:val="000000"/>
          <w:rtl/>
        </w:rPr>
        <w:t xml:space="preserve">(ע"א 618/05 </w:t>
      </w:r>
      <w:r>
        <w:rPr>
          <w:rFonts w:ascii="David" w:hAnsi="David"/>
          <w:b/>
          <w:bCs/>
          <w:color w:val="000000"/>
          <w:rtl/>
        </w:rPr>
        <w:t>דיאמנשטיין נ' מחלקת עבודות ציבוריות מדינת ישראל (21.3.2007)</w:t>
      </w:r>
      <w:r>
        <w:rPr>
          <w:rFonts w:ascii="David" w:hAnsi="David"/>
          <w:color w:val="000000"/>
          <w:rtl/>
        </w:rPr>
        <w:t>".</w:t>
      </w:r>
    </w:p>
    <w:p w:rsidR="00AA1EDB" w:rsidRDefault="00AA1EDB" w:rsidP="00AA1EDB">
      <w:pPr>
        <w:spacing w:after="120" w:line="360" w:lineRule="auto"/>
        <w:ind w:left="720"/>
        <w:jc w:val="both"/>
        <w:rPr>
          <w:rFonts w:ascii="David" w:hAnsi="David"/>
          <w:b/>
          <w:bCs/>
          <w:color w:val="000000"/>
          <w:rtl/>
        </w:rPr>
      </w:pPr>
      <w:r>
        <w:rPr>
          <w:rFonts w:ascii="David" w:hAnsi="David"/>
          <w:color w:val="000000"/>
          <w:rtl/>
        </w:rPr>
        <w:t>כבוד השופט נ. סולברג קבע, כי אמנם בכל הנוגע לרשות במקרקעין לבית המשפט שיקול דעת בקביעת סעד צודק בנסיבות הענין אולם קביעה זו "</w:t>
      </w:r>
      <w:r>
        <w:rPr>
          <w:rFonts w:ascii="David" w:hAnsi="David"/>
          <w:b/>
          <w:bCs/>
          <w:color w:val="000000"/>
          <w:rtl/>
        </w:rPr>
        <w:t>אין משמעה כי הפיצוי בגין ביטול הרשות אינו נתון בגדרים כלשהם".</w:t>
      </w:r>
    </w:p>
    <w:p w:rsidR="00CB230F" w:rsidRDefault="00AA1EDB" w:rsidP="00AA1EDB">
      <w:pPr>
        <w:spacing w:after="120" w:line="360" w:lineRule="auto"/>
        <w:ind w:left="720"/>
        <w:jc w:val="both"/>
        <w:rPr>
          <w:rFonts w:ascii="David" w:hAnsi="David"/>
          <w:color w:val="000000"/>
          <w:rtl/>
        </w:rPr>
      </w:pPr>
      <w:r>
        <w:rPr>
          <w:rFonts w:ascii="David" w:hAnsi="David"/>
          <w:color w:val="000000"/>
          <w:rtl/>
        </w:rPr>
        <w:t>בית המשפט קבע, כי</w:t>
      </w:r>
      <w:r>
        <w:rPr>
          <w:rFonts w:ascii="David" w:hAnsi="David"/>
          <w:b/>
          <w:bCs/>
          <w:color w:val="000000"/>
          <w:rtl/>
        </w:rPr>
        <w:t xml:space="preserve"> </w:t>
      </w:r>
      <w:r>
        <w:rPr>
          <w:rFonts w:ascii="David" w:hAnsi="David"/>
          <w:color w:val="000000"/>
          <w:rtl/>
        </w:rPr>
        <w:t xml:space="preserve">הדיון בשאלות האם הרשות במקרקעין הדירה; האם בוטלה; האם יש להתנות את ביטולה בתשלום פיצוי - הן שאלות שניתן להכריע בהן על יסוד שיקולי צדק. </w:t>
      </w:r>
    </w:p>
    <w:p w:rsidR="00AA1EDB" w:rsidRDefault="00AA1EDB" w:rsidP="00AA1EDB">
      <w:pPr>
        <w:spacing w:after="120" w:line="360" w:lineRule="auto"/>
        <w:ind w:left="720"/>
        <w:jc w:val="both"/>
        <w:rPr>
          <w:rFonts w:ascii="David" w:hAnsi="David"/>
          <w:color w:val="000000"/>
          <w:rtl/>
        </w:rPr>
      </w:pPr>
      <w:r>
        <w:rPr>
          <w:rFonts w:ascii="David" w:hAnsi="David"/>
          <w:color w:val="000000"/>
          <w:rtl/>
        </w:rPr>
        <w:t>אולם משעה שנקבעה זכות פיצוי, יש "</w:t>
      </w:r>
      <w:r>
        <w:rPr>
          <w:rFonts w:ascii="David" w:hAnsi="David"/>
          <w:b/>
          <w:bCs/>
          <w:color w:val="000000"/>
          <w:rtl/>
        </w:rPr>
        <w:t xml:space="preserve">לילך בדרך שהתוותה הפסיקה ולקבוע פיצוי אך בשווי השקעת ברי הרשות בנכס ובהשבחתו" </w:t>
      </w:r>
      <w:r>
        <w:rPr>
          <w:rFonts w:ascii="David" w:hAnsi="David"/>
          <w:color w:val="000000"/>
          <w:rtl/>
        </w:rPr>
        <w:t>(סעיף 11 לפסק הדין).</w:t>
      </w:r>
    </w:p>
    <w:p w:rsidR="00AA1EDB" w:rsidRDefault="00A308DE" w:rsidP="00A308DE">
      <w:pPr>
        <w:spacing w:after="120" w:line="360" w:lineRule="auto"/>
        <w:ind w:left="720"/>
        <w:jc w:val="both"/>
        <w:rPr>
          <w:rFonts w:ascii="David" w:hAnsi="David"/>
          <w:b/>
          <w:bCs/>
          <w:color w:val="000000"/>
          <w:rtl/>
        </w:rPr>
      </w:pPr>
      <w:r>
        <w:rPr>
          <w:rFonts w:ascii="David" w:hAnsi="David" w:hint="cs"/>
          <w:color w:val="000000"/>
          <w:rtl/>
        </w:rPr>
        <w:t xml:space="preserve">ראו גם </w:t>
      </w:r>
      <w:r>
        <w:rPr>
          <w:rFonts w:ascii="David" w:hAnsi="David"/>
          <w:color w:val="000000"/>
          <w:rtl/>
        </w:rPr>
        <w:t xml:space="preserve">עמ"ש (חי') 4194-10-17‏ ‏ </w:t>
      </w:r>
      <w:r>
        <w:rPr>
          <w:rFonts w:ascii="David" w:hAnsi="David"/>
          <w:b/>
          <w:bCs/>
          <w:color w:val="000000"/>
          <w:rtl/>
        </w:rPr>
        <w:t>ע' ח' נ' ר' ח'</w:t>
      </w:r>
      <w:r>
        <w:rPr>
          <w:rFonts w:ascii="David" w:hAnsi="David"/>
          <w:color w:val="000000"/>
          <w:rtl/>
        </w:rPr>
        <w:t>‏ (8.1.2019)</w:t>
      </w:r>
      <w:r>
        <w:rPr>
          <w:rFonts w:ascii="David" w:hAnsi="David" w:hint="cs"/>
          <w:color w:val="000000"/>
          <w:rtl/>
        </w:rPr>
        <w:t xml:space="preserve">, שם הסביר בית המשפט המחוזי כי </w:t>
      </w:r>
      <w:r>
        <w:rPr>
          <w:rFonts w:ascii="David" w:hAnsi="David"/>
          <w:color w:val="000000"/>
          <w:rtl/>
        </w:rPr>
        <w:t>פסיקת בית המשפט העליון</w:t>
      </w:r>
      <w:r>
        <w:rPr>
          <w:rFonts w:ascii="David" w:hAnsi="David" w:hint="cs"/>
          <w:color w:val="000000"/>
          <w:rtl/>
        </w:rPr>
        <w:t xml:space="preserve"> בענין קביעת פיצוי בגין ההשקעה בנכס מכתיבה נורמה אחידה שתבסס התנהלות שתוביל לעיגון זכויות בדרך אכיפה בין באמצעות רישום זכויות ובין במסגרת הסכמית כתובה וברורה </w:t>
      </w:r>
      <w:r w:rsidR="00AA1EDB">
        <w:rPr>
          <w:rFonts w:ascii="David" w:hAnsi="David"/>
          <w:color w:val="000000"/>
          <w:rtl/>
        </w:rPr>
        <w:t>(סעיף 32 לפסק הדין)</w:t>
      </w:r>
      <w:r w:rsidR="00AA1EDB">
        <w:rPr>
          <w:rFonts w:ascii="David" w:hAnsi="David"/>
          <w:b/>
          <w:bCs/>
          <w:color w:val="000000"/>
          <w:rtl/>
        </w:rPr>
        <w:t xml:space="preserve">. </w:t>
      </w:r>
    </w:p>
    <w:p w:rsidR="007B0611" w:rsidRDefault="00B514FE" w:rsidP="00A308DE">
      <w:pPr>
        <w:spacing w:after="120" w:line="360" w:lineRule="auto"/>
        <w:ind w:left="720"/>
        <w:jc w:val="both"/>
        <w:rPr>
          <w:rFonts w:ascii="David" w:hAnsi="David"/>
          <w:color w:val="000000"/>
          <w:rtl/>
        </w:rPr>
      </w:pPr>
      <w:r w:rsidRPr="0002039C">
        <w:rPr>
          <w:rFonts w:ascii="David" w:hAnsi="David" w:hint="cs"/>
          <w:color w:val="000000"/>
          <w:rtl/>
        </w:rPr>
        <w:t xml:space="preserve">כלומר עמדתה של האישה בדבר קביעת פיצוי על סמך שווי דמי השכירות </w:t>
      </w:r>
      <w:r w:rsidR="0002039C" w:rsidRPr="0002039C">
        <w:rPr>
          <w:rFonts w:ascii="David" w:hAnsi="David" w:hint="cs"/>
          <w:color w:val="000000"/>
          <w:rtl/>
        </w:rPr>
        <w:t>קדימה אינה עולה מהפסיקה והפיצוי שנפסק נגזר מההשבחה ולא מההסתמכות על הרשות</w:t>
      </w:r>
      <w:r w:rsidR="007B0611">
        <w:rPr>
          <w:rFonts w:ascii="David" w:hAnsi="David" w:hint="cs"/>
          <w:color w:val="000000"/>
          <w:rtl/>
        </w:rPr>
        <w:t>, משך זמן המגורים או כל פרמטר אישי אחר של המשפחה</w:t>
      </w:r>
      <w:r w:rsidR="0002039C" w:rsidRPr="0002039C">
        <w:rPr>
          <w:rFonts w:ascii="David" w:hAnsi="David" w:hint="cs"/>
          <w:color w:val="000000"/>
          <w:rtl/>
        </w:rPr>
        <w:t xml:space="preserve">. </w:t>
      </w:r>
    </w:p>
    <w:p w:rsidR="00806FBB" w:rsidRPr="00806FBB" w:rsidRDefault="00806FBB" w:rsidP="00806FBB">
      <w:pPr>
        <w:pStyle w:val="ae"/>
        <w:numPr>
          <w:ilvl w:val="0"/>
          <w:numId w:val="2"/>
        </w:numPr>
        <w:spacing w:after="120" w:line="360" w:lineRule="auto"/>
        <w:ind w:left="714" w:hanging="357"/>
        <w:contextualSpacing w:val="0"/>
        <w:jc w:val="both"/>
        <w:rPr>
          <w:rFonts w:ascii="David" w:hAnsi="David"/>
          <w:color w:val="000000"/>
          <w:rtl/>
        </w:rPr>
      </w:pPr>
      <w:r w:rsidRPr="00806FBB">
        <w:rPr>
          <w:rFonts w:ascii="David" w:hAnsi="David" w:hint="cs"/>
          <w:color w:val="000000"/>
          <w:rtl/>
        </w:rPr>
        <w:t xml:space="preserve">אם כן, כאמור, </w:t>
      </w:r>
      <w:r w:rsidR="007B0611">
        <w:rPr>
          <w:rFonts w:ascii="David" w:hAnsi="David" w:hint="cs"/>
          <w:color w:val="000000"/>
          <w:rtl/>
        </w:rPr>
        <w:t xml:space="preserve">ההלכה היא כי </w:t>
      </w:r>
      <w:r w:rsidRPr="00806FBB">
        <w:rPr>
          <w:rFonts w:ascii="David" w:hAnsi="David" w:hint="cs"/>
          <w:color w:val="000000"/>
          <w:rtl/>
        </w:rPr>
        <w:t xml:space="preserve">קביעת הפיצוי נקבעת על בסיס ההשקעה שבוצעה בנכס משך תקופת החיים המשותפים. </w:t>
      </w:r>
    </w:p>
    <w:p w:rsidR="00AA1EDB" w:rsidRPr="00806FBB" w:rsidRDefault="00A308DE" w:rsidP="00806FBB">
      <w:pPr>
        <w:pStyle w:val="ae"/>
        <w:numPr>
          <w:ilvl w:val="0"/>
          <w:numId w:val="2"/>
        </w:numPr>
        <w:spacing w:before="120" w:after="120" w:line="360" w:lineRule="auto"/>
        <w:ind w:left="714" w:hanging="357"/>
        <w:jc w:val="both"/>
        <w:rPr>
          <w:rFonts w:ascii="David" w:hAnsi="David"/>
          <w:color w:val="000000"/>
          <w:rtl/>
        </w:rPr>
      </w:pPr>
      <w:r w:rsidRPr="00806FBB">
        <w:rPr>
          <w:rFonts w:ascii="David" w:hAnsi="David" w:hint="cs"/>
          <w:color w:val="000000"/>
          <w:rtl/>
        </w:rPr>
        <w:t xml:space="preserve">האישה לא הביאה ראיה כלשהי להשקעה בנכס במהלך תקופת הנשואין. </w:t>
      </w:r>
    </w:p>
    <w:p w:rsidR="001A4D18" w:rsidRPr="001A4D18" w:rsidRDefault="001A4D18" w:rsidP="00A308DE">
      <w:pPr>
        <w:spacing w:after="120" w:line="360" w:lineRule="auto"/>
        <w:ind w:left="720" w:hanging="720"/>
        <w:jc w:val="both"/>
        <w:rPr>
          <w:rFonts w:ascii="David" w:hAnsi="David"/>
          <w:color w:val="000000"/>
          <w:rtl/>
        </w:rPr>
      </w:pPr>
      <w:r>
        <w:rPr>
          <w:rFonts w:ascii="David" w:hAnsi="David" w:hint="cs"/>
          <w:color w:val="000000"/>
          <w:rtl/>
        </w:rPr>
        <w:tab/>
        <w:t xml:space="preserve">המומחה קבע, כי </w:t>
      </w:r>
      <w:r>
        <w:rPr>
          <w:rFonts w:ascii="David" w:hAnsi="David" w:hint="cs"/>
          <w:b/>
          <w:bCs/>
          <w:color w:val="000000"/>
          <w:rtl/>
        </w:rPr>
        <w:t xml:space="preserve">"לאחר ביקור בנכס ובדיקה מעמיקה למבנה נראה שלא בוצעו שיפוצים ו/או השבחות ו/או הרחבות במבנה" </w:t>
      </w:r>
      <w:r>
        <w:rPr>
          <w:rFonts w:ascii="David" w:hAnsi="David" w:hint="cs"/>
          <w:color w:val="000000"/>
          <w:rtl/>
        </w:rPr>
        <w:t>(סעיף 5).</w:t>
      </w:r>
    </w:p>
    <w:p w:rsidR="00A308DE" w:rsidRDefault="00A308DE" w:rsidP="00A308DE">
      <w:pPr>
        <w:spacing w:after="120" w:line="360" w:lineRule="auto"/>
        <w:ind w:left="720"/>
        <w:jc w:val="both"/>
        <w:rPr>
          <w:rtl/>
        </w:rPr>
      </w:pPr>
      <w:r>
        <w:rPr>
          <w:rFonts w:hint="cs"/>
          <w:rtl/>
        </w:rPr>
        <w:t>העדה מטעם האישה העידה כי לא בוצע שיפוץ, אם כי טענה שצבעו את הבית ותקנו אם היה משהו שדרש תיקון (עמ' 24, ש' 15-8).</w:t>
      </w:r>
    </w:p>
    <w:p w:rsidR="00A308DE" w:rsidRDefault="00A308DE" w:rsidP="00A308DE">
      <w:pPr>
        <w:spacing w:after="120" w:line="360" w:lineRule="auto"/>
        <w:ind w:left="720"/>
        <w:jc w:val="both"/>
        <w:rPr>
          <w:rtl/>
        </w:rPr>
      </w:pPr>
      <w:r>
        <w:rPr>
          <w:rFonts w:hint="cs"/>
          <w:rtl/>
        </w:rPr>
        <w:t>העדה הנוספת, חברתה של האישה העידה, כי לא זכור לה שבוצע שיפוץ (עמ' 28, ש' 31)</w:t>
      </w:r>
      <w:r w:rsidR="00352AEF">
        <w:rPr>
          <w:rFonts w:hint="cs"/>
          <w:rtl/>
        </w:rPr>
        <w:t>.</w:t>
      </w:r>
    </w:p>
    <w:p w:rsidR="00352AEF" w:rsidRDefault="00352AEF" w:rsidP="00A308DE">
      <w:pPr>
        <w:spacing w:after="120" w:line="360" w:lineRule="auto"/>
        <w:ind w:left="720"/>
        <w:jc w:val="both"/>
      </w:pPr>
      <w:r>
        <w:rPr>
          <w:rFonts w:hint="cs"/>
          <w:rtl/>
        </w:rPr>
        <w:t>כאשר נשאלה האישה בענין זה השיב</w:t>
      </w:r>
      <w:r w:rsidR="004703C4">
        <w:rPr>
          <w:rFonts w:hint="cs"/>
          <w:rtl/>
        </w:rPr>
        <w:t>ה, כי תרומתה לבית היתה רכישת ריה</w:t>
      </w:r>
      <w:r>
        <w:rPr>
          <w:rFonts w:hint="cs"/>
          <w:rtl/>
        </w:rPr>
        <w:t>וט ואב</w:t>
      </w:r>
      <w:r w:rsidR="004703C4">
        <w:rPr>
          <w:rFonts w:hint="cs"/>
          <w:rtl/>
        </w:rPr>
        <w:t>זור (עמ' 43,ש' 31-18) וכי האיש סרב לעשות שיפוצים בבית והיא צבעה את הבית בעצמה (עמ' 46, ש' 11-10 וש' 14).</w:t>
      </w:r>
    </w:p>
    <w:p w:rsidR="002A3B68" w:rsidRDefault="001A4D18" w:rsidP="007B0611">
      <w:pPr>
        <w:pStyle w:val="ae"/>
        <w:numPr>
          <w:ilvl w:val="0"/>
          <w:numId w:val="2"/>
        </w:numPr>
        <w:spacing w:after="120" w:line="360" w:lineRule="auto"/>
        <w:ind w:left="567" w:hanging="567"/>
        <w:contextualSpacing w:val="0"/>
        <w:jc w:val="both"/>
      </w:pPr>
      <w:r w:rsidRPr="001A4D18">
        <w:rPr>
          <w:rFonts w:hint="cs"/>
          <w:rtl/>
        </w:rPr>
        <w:lastRenderedPageBreak/>
        <w:t>ע</w:t>
      </w:r>
      <w:r>
        <w:rPr>
          <w:rFonts w:hint="cs"/>
          <w:rtl/>
        </w:rPr>
        <w:t xml:space="preserve">ל כן, בהעדר ראיה להשקעה בנכס במהלך תקופת החיים המשותפים ולאור ההלכה בענין הבסיס לקביעת פיצוי בגין הפסקת היתר מגורים או שימוש בנכס </w:t>
      </w:r>
      <w:r w:rsidR="007B0611">
        <w:rPr>
          <w:rFonts w:hint="cs"/>
          <w:rtl/>
        </w:rPr>
        <w:t>-</w:t>
      </w:r>
      <w:r>
        <w:rPr>
          <w:rFonts w:hint="cs"/>
          <w:rtl/>
        </w:rPr>
        <w:t xml:space="preserve"> בהתבסס על שיעור ההשקעה בנכס </w:t>
      </w:r>
      <w:r w:rsidR="004703C4">
        <w:rPr>
          <w:rFonts w:hint="cs"/>
          <w:rtl/>
        </w:rPr>
        <w:t>-</w:t>
      </w:r>
      <w:r>
        <w:rPr>
          <w:rFonts w:hint="cs"/>
          <w:rtl/>
        </w:rPr>
        <w:t xml:space="preserve"> אני קובעת, כי אין לאישה זכות לקבלת פיצוי בכל הנוגע לנכס המקרקעין. </w:t>
      </w:r>
    </w:p>
    <w:p w:rsidR="004703C4" w:rsidRDefault="004703C4" w:rsidP="007B0611">
      <w:pPr>
        <w:pStyle w:val="ae"/>
        <w:numPr>
          <w:ilvl w:val="0"/>
          <w:numId w:val="2"/>
        </w:numPr>
        <w:spacing w:after="120" w:line="360" w:lineRule="auto"/>
        <w:ind w:left="567" w:hanging="567"/>
        <w:contextualSpacing w:val="0"/>
        <w:jc w:val="both"/>
      </w:pPr>
      <w:r w:rsidRPr="004703C4">
        <w:rPr>
          <w:rFonts w:hint="cs"/>
          <w:b/>
          <w:bCs/>
          <w:u w:val="single"/>
          <w:rtl/>
        </w:rPr>
        <w:t>סיכום</w:t>
      </w:r>
      <w:r w:rsidR="007B0611">
        <w:rPr>
          <w:rFonts w:hint="cs"/>
          <w:b/>
          <w:bCs/>
          <w:u w:val="single"/>
          <w:rtl/>
        </w:rPr>
        <w:t xml:space="preserve"> עיקרי הקביעות עד נקודה זו</w:t>
      </w:r>
      <w:r>
        <w:rPr>
          <w:rFonts w:hint="cs"/>
          <w:rtl/>
        </w:rPr>
        <w:t>:</w:t>
      </w:r>
    </w:p>
    <w:p w:rsidR="004703C4" w:rsidRDefault="004703C4" w:rsidP="007B0611">
      <w:pPr>
        <w:pStyle w:val="ae"/>
        <w:spacing w:after="120" w:line="360" w:lineRule="auto"/>
        <w:ind w:left="567"/>
        <w:contextualSpacing w:val="0"/>
        <w:jc w:val="both"/>
        <w:rPr>
          <w:rtl/>
        </w:rPr>
      </w:pPr>
      <w:r>
        <w:rPr>
          <w:rFonts w:hint="cs"/>
          <w:rtl/>
        </w:rPr>
        <w:t>האישה לא הוכיחה זכויות קנייניות בנכס - לא הוכח</w:t>
      </w:r>
      <w:r w:rsidR="007B0611">
        <w:rPr>
          <w:rFonts w:hint="cs"/>
          <w:rtl/>
        </w:rPr>
        <w:t>ה</w:t>
      </w:r>
      <w:r>
        <w:rPr>
          <w:rFonts w:hint="cs"/>
          <w:rtl/>
        </w:rPr>
        <w:t xml:space="preserve"> מערכת יחסים הסכמית שהקנתה לה זכויות; לא הוצגו נסיבות המבססות את הטענה להעברת הזכויות או התחייבות להעברה עליה הסתמכה האישה; לא הוכחה בעלות האיש בנכס, כך שאין מקום לדון בטענות השיתוף בנכס ואף לא הוכח שבוצעה השקעה בנכס המזכה את האישה בפיצוי כספי (בהסתמך על ההלכה כי פיצוי לא נקבע על סמך משך שנות המגורים או פגיעה בהסתמכות אלא על שווי ההשבחה של הנכס בו נעשה שימוש משך תקופת הרשות). </w:t>
      </w:r>
    </w:p>
    <w:p w:rsidR="007B0611" w:rsidRDefault="007B0611" w:rsidP="007B0611">
      <w:pPr>
        <w:pStyle w:val="ae"/>
        <w:spacing w:after="120" w:line="360" w:lineRule="auto"/>
        <w:ind w:left="567"/>
        <w:contextualSpacing w:val="0"/>
        <w:jc w:val="both"/>
      </w:pPr>
      <w:r>
        <w:rPr>
          <w:rFonts w:hint="cs"/>
          <w:rtl/>
        </w:rPr>
        <w:t xml:space="preserve">על כן אני דוחה את טענותיה של האישה בכל הנוגע לזכות קניינית בנכס וזכות פיצוי בהקשר זה. </w:t>
      </w:r>
    </w:p>
    <w:p w:rsidR="00B61D43" w:rsidRPr="00B61D43" w:rsidRDefault="00B61D43" w:rsidP="00B61D43">
      <w:pPr>
        <w:spacing w:after="120" w:line="360" w:lineRule="auto"/>
        <w:ind w:left="567" w:hanging="567"/>
        <w:jc w:val="both"/>
        <w:rPr>
          <w:b/>
          <w:bCs/>
          <w:u w:val="single"/>
          <w:rtl/>
        </w:rPr>
      </w:pPr>
      <w:r w:rsidRPr="00B61D43">
        <w:rPr>
          <w:rFonts w:hint="cs"/>
          <w:b/>
          <w:bCs/>
          <w:rtl/>
        </w:rPr>
        <w:t>א.</w:t>
      </w:r>
      <w:r>
        <w:rPr>
          <w:rFonts w:hint="cs"/>
          <w:b/>
          <w:bCs/>
          <w:rtl/>
        </w:rPr>
        <w:t>2</w:t>
      </w:r>
      <w:r w:rsidRPr="00B61D43">
        <w:rPr>
          <w:rFonts w:hint="cs"/>
          <w:b/>
          <w:bCs/>
          <w:rtl/>
        </w:rPr>
        <w:t>.5.</w:t>
      </w:r>
      <w:r w:rsidRPr="00B61D43">
        <w:rPr>
          <w:rFonts w:hint="cs"/>
          <w:b/>
          <w:bCs/>
          <w:rtl/>
        </w:rPr>
        <w:tab/>
      </w:r>
      <w:r w:rsidRPr="00B61D43">
        <w:rPr>
          <w:rFonts w:hint="cs"/>
          <w:b/>
          <w:bCs/>
          <w:u w:val="single"/>
          <w:rtl/>
        </w:rPr>
        <w:t xml:space="preserve">זכויותיה של האישה </w:t>
      </w:r>
      <w:r>
        <w:rPr>
          <w:rFonts w:hint="cs"/>
          <w:b/>
          <w:bCs/>
          <w:u w:val="single"/>
          <w:rtl/>
        </w:rPr>
        <w:t>בנכסים שנצב</w:t>
      </w:r>
      <w:r w:rsidR="0060397D">
        <w:rPr>
          <w:rFonts w:hint="cs"/>
          <w:b/>
          <w:bCs/>
          <w:u w:val="single"/>
          <w:rtl/>
        </w:rPr>
        <w:t>רו במהלך תקופת הנשואין</w:t>
      </w:r>
    </w:p>
    <w:p w:rsidR="00B61D43" w:rsidRPr="0060397D" w:rsidRDefault="0060397D" w:rsidP="007B0611">
      <w:pPr>
        <w:spacing w:after="120" w:line="360" w:lineRule="auto"/>
        <w:jc w:val="both"/>
        <w:rPr>
          <w:b/>
          <w:bCs/>
          <w:u w:val="single"/>
        </w:rPr>
      </w:pPr>
      <w:r w:rsidRPr="0060397D">
        <w:rPr>
          <w:rFonts w:hint="cs"/>
          <w:b/>
          <w:bCs/>
          <w:rtl/>
        </w:rPr>
        <w:t xml:space="preserve">א.1.2.5 </w:t>
      </w:r>
      <w:r w:rsidRPr="0060397D">
        <w:rPr>
          <w:rFonts w:hint="cs"/>
          <w:b/>
          <w:bCs/>
          <w:u w:val="single"/>
          <w:rtl/>
        </w:rPr>
        <w:t>ת</w:t>
      </w:r>
      <w:r w:rsidR="00E97177">
        <w:rPr>
          <w:rFonts w:hint="cs"/>
          <w:b/>
          <w:bCs/>
          <w:u w:val="single"/>
          <w:rtl/>
        </w:rPr>
        <w:t>ח</w:t>
      </w:r>
      <w:r w:rsidRPr="0060397D">
        <w:rPr>
          <w:rFonts w:hint="cs"/>
          <w:b/>
          <w:bCs/>
          <w:u w:val="single"/>
          <w:rtl/>
        </w:rPr>
        <w:t>ולת חוק יחסי ממון</w:t>
      </w:r>
      <w:r w:rsidR="00E97177">
        <w:rPr>
          <w:rFonts w:hint="cs"/>
          <w:b/>
          <w:bCs/>
          <w:u w:val="single"/>
          <w:rtl/>
        </w:rPr>
        <w:t xml:space="preserve"> </w:t>
      </w:r>
      <w:r w:rsidR="007B0611">
        <w:rPr>
          <w:rFonts w:hint="cs"/>
          <w:b/>
          <w:bCs/>
          <w:u w:val="single"/>
          <w:rtl/>
        </w:rPr>
        <w:t>-</w:t>
      </w:r>
      <w:r w:rsidR="00E97177">
        <w:rPr>
          <w:rFonts w:hint="cs"/>
          <w:b/>
          <w:bCs/>
          <w:u w:val="single"/>
          <w:rtl/>
        </w:rPr>
        <w:t xml:space="preserve"> מהו המשטר הרכושי שיחול על הזוגיות של הצדדים?</w:t>
      </w:r>
    </w:p>
    <w:p w:rsidR="00D00AF5" w:rsidRDefault="0060397D" w:rsidP="00741F84">
      <w:pPr>
        <w:pStyle w:val="ae"/>
        <w:numPr>
          <w:ilvl w:val="0"/>
          <w:numId w:val="2"/>
        </w:numPr>
        <w:spacing w:after="120" w:line="360" w:lineRule="auto"/>
        <w:ind w:left="567" w:hanging="567"/>
        <w:contextualSpacing w:val="0"/>
        <w:jc w:val="both"/>
      </w:pPr>
      <w:r>
        <w:rPr>
          <w:rFonts w:hint="cs"/>
          <w:rtl/>
        </w:rPr>
        <w:t xml:space="preserve">האיש טען </w:t>
      </w:r>
      <w:r w:rsidR="00C16E54">
        <w:rPr>
          <w:rFonts w:hint="cs"/>
          <w:rtl/>
        </w:rPr>
        <w:t xml:space="preserve">כי הסכם הנשואין עליו חתמו הצדדים ביום </w:t>
      </w:r>
      <w:r w:rsidR="00741F84">
        <w:rPr>
          <w:rFonts w:hint="cs"/>
          <w:rtl/>
        </w:rPr>
        <w:t xml:space="preserve">2022.--.--  </w:t>
      </w:r>
      <w:r w:rsidR="00C16E54">
        <w:rPr>
          <w:rFonts w:hint="cs"/>
          <w:rtl/>
        </w:rPr>
        <w:t xml:space="preserve"> קבע את אי תחולת </w:t>
      </w:r>
      <w:r w:rsidR="00C16E54" w:rsidRPr="00E97177">
        <w:rPr>
          <w:rFonts w:hint="cs"/>
          <w:u w:val="single"/>
          <w:rtl/>
        </w:rPr>
        <w:t>חוק יחסי ממון בין בני זוג,</w:t>
      </w:r>
      <w:r w:rsidR="00C16E54">
        <w:rPr>
          <w:rFonts w:hint="cs"/>
          <w:rtl/>
        </w:rPr>
        <w:t xml:space="preserve"> התשל"ג-1973 </w:t>
      </w:r>
      <w:r w:rsidR="005025BB">
        <w:rPr>
          <w:rFonts w:hint="cs"/>
          <w:rtl/>
        </w:rPr>
        <w:t>(</w:t>
      </w:r>
      <w:r w:rsidR="005025BB">
        <w:rPr>
          <w:rFonts w:hint="cs"/>
          <w:b/>
          <w:bCs/>
          <w:rtl/>
        </w:rPr>
        <w:t>"חוק יחסי ממון"</w:t>
      </w:r>
      <w:r w:rsidR="005025BB">
        <w:rPr>
          <w:rFonts w:hint="cs"/>
          <w:rtl/>
        </w:rPr>
        <w:t xml:space="preserve">) </w:t>
      </w:r>
      <w:r w:rsidR="00C16E54">
        <w:rPr>
          <w:rFonts w:hint="cs"/>
          <w:rtl/>
        </w:rPr>
        <w:t xml:space="preserve">(סעיף 5 לתצהיר). </w:t>
      </w:r>
    </w:p>
    <w:p w:rsidR="00D35424" w:rsidRDefault="00DD692B" w:rsidP="005025BB">
      <w:pPr>
        <w:pStyle w:val="ae"/>
        <w:numPr>
          <w:ilvl w:val="0"/>
          <w:numId w:val="2"/>
        </w:numPr>
        <w:spacing w:after="120" w:line="360" w:lineRule="auto"/>
        <w:ind w:left="567" w:hanging="567"/>
        <w:contextualSpacing w:val="0"/>
        <w:jc w:val="both"/>
      </w:pPr>
      <w:r>
        <w:rPr>
          <w:rFonts w:hint="cs"/>
          <w:rtl/>
        </w:rPr>
        <w:t xml:space="preserve">הוראות סעיפים 2-1 </w:t>
      </w:r>
      <w:r w:rsidR="005025BB" w:rsidRPr="005025BB">
        <w:rPr>
          <w:rFonts w:hint="cs"/>
          <w:rtl/>
        </w:rPr>
        <w:t>לחוק יחסי ממון</w:t>
      </w:r>
      <w:r>
        <w:rPr>
          <w:rFonts w:hint="cs"/>
          <w:rtl/>
        </w:rPr>
        <w:t xml:space="preserve"> </w:t>
      </w:r>
      <w:r w:rsidR="000262ED">
        <w:rPr>
          <w:rFonts w:hint="cs"/>
          <w:rtl/>
        </w:rPr>
        <w:t>קובעות, כי הסכם המסדיר יחסי ממון בין בני זוג טעון אישור בית</w:t>
      </w:r>
      <w:r w:rsidR="00D35424">
        <w:rPr>
          <w:rFonts w:hint="cs"/>
          <w:rtl/>
        </w:rPr>
        <w:t xml:space="preserve"> </w:t>
      </w:r>
      <w:r w:rsidR="000262ED">
        <w:rPr>
          <w:rFonts w:hint="cs"/>
          <w:rtl/>
        </w:rPr>
        <w:t>המשפט לענייני משפחה או בית הדין הדתי שלו סמכות השיפוט בענייני נשואין וגירושין של בני זוג</w:t>
      </w:r>
      <w:r w:rsidR="00D35424">
        <w:rPr>
          <w:rFonts w:hint="cs"/>
          <w:rtl/>
        </w:rPr>
        <w:t>.</w:t>
      </w:r>
    </w:p>
    <w:p w:rsidR="0095372D" w:rsidRDefault="00D35424" w:rsidP="00D35424">
      <w:pPr>
        <w:pStyle w:val="ae"/>
        <w:spacing w:after="120" w:line="360" w:lineRule="auto"/>
        <w:ind w:left="567"/>
        <w:contextualSpacing w:val="0"/>
        <w:jc w:val="both"/>
        <w:rPr>
          <w:b/>
          <w:bCs/>
          <w:rtl/>
        </w:rPr>
      </w:pPr>
      <w:r>
        <w:rPr>
          <w:rFonts w:hint="cs"/>
          <w:rtl/>
        </w:rPr>
        <w:t xml:space="preserve">סעיף 2(ב) קובע, כי </w:t>
      </w:r>
      <w:r>
        <w:rPr>
          <w:rFonts w:hint="cs"/>
          <w:b/>
          <w:bCs/>
          <w:rtl/>
        </w:rPr>
        <w:t xml:space="preserve">"האישור לא </w:t>
      </w:r>
      <w:r w:rsidR="0095372D">
        <w:rPr>
          <w:rFonts w:hint="cs"/>
          <w:b/>
          <w:bCs/>
          <w:rtl/>
        </w:rPr>
        <w:t>יינתן אלא לאחר שנוכח בית המשפט או בית הדין שבני הזוג עשו את ההסכם או את השינוי בהסכמה חפשית ובהינם את משמעותו ואת תוצאותיו".</w:t>
      </w:r>
    </w:p>
    <w:p w:rsidR="0095372D" w:rsidRDefault="0095372D" w:rsidP="00D35424">
      <w:pPr>
        <w:pStyle w:val="ae"/>
        <w:spacing w:after="120" w:line="360" w:lineRule="auto"/>
        <w:ind w:left="567"/>
        <w:contextualSpacing w:val="0"/>
        <w:jc w:val="both"/>
        <w:rPr>
          <w:b/>
          <w:bCs/>
          <w:rtl/>
        </w:rPr>
      </w:pPr>
      <w:r>
        <w:rPr>
          <w:rFonts w:hint="cs"/>
          <w:rtl/>
        </w:rPr>
        <w:t xml:space="preserve">סעיף 2(ג) קובע, כי </w:t>
      </w:r>
      <w:r>
        <w:rPr>
          <w:rFonts w:hint="cs"/>
          <w:b/>
          <w:bCs/>
          <w:rtl/>
        </w:rPr>
        <w:t>"בהסכם ממון שנכרת לפני הנישואין או בשעת עריכתם יכול אימות רושם הנישואין לבוא במקום אישור בית המשפט או בית הדין".</w:t>
      </w:r>
    </w:p>
    <w:p w:rsidR="004E1C32" w:rsidRPr="004E1C32" w:rsidRDefault="004E1C32" w:rsidP="004E1C32">
      <w:pPr>
        <w:pStyle w:val="ae"/>
        <w:spacing w:after="120" w:line="360" w:lineRule="auto"/>
        <w:ind w:left="567"/>
        <w:contextualSpacing w:val="0"/>
        <w:jc w:val="both"/>
      </w:pPr>
      <w:r>
        <w:rPr>
          <w:rFonts w:hint="cs"/>
          <w:rtl/>
        </w:rPr>
        <w:t>סעיף 3(א) קובע, "</w:t>
      </w:r>
      <w:r w:rsidRPr="004E1C32">
        <w:rPr>
          <w:b/>
          <w:bCs/>
          <w:rtl/>
        </w:rPr>
        <w:t xml:space="preserve">לא עשו בני הזוג הסכם ממון, ואם עשו </w:t>
      </w:r>
      <w:r w:rsidRPr="004E1C32">
        <w:rPr>
          <w:rFonts w:hint="cs"/>
          <w:b/>
          <w:bCs/>
          <w:rtl/>
        </w:rPr>
        <w:t>-</w:t>
      </w:r>
      <w:r w:rsidRPr="004E1C32">
        <w:rPr>
          <w:b/>
          <w:bCs/>
          <w:rtl/>
        </w:rPr>
        <w:t xml:space="preserve"> במידה שההסכם אינו קובע אחרת, יראום כמסכימים להסדר איזון המשאבים לפי פרק זה, ויראו הסדר זה כמוסכם בהסכם ממון בעל תוקף שנתמלאו בו הוראות סעיף 2</w:t>
      </w:r>
      <w:r>
        <w:rPr>
          <w:rFonts w:hint="cs"/>
          <w:rtl/>
        </w:rPr>
        <w:t>".</w:t>
      </w:r>
    </w:p>
    <w:p w:rsidR="004E1C32" w:rsidRPr="004E1C32" w:rsidRDefault="004E1C32" w:rsidP="004E1C32">
      <w:pPr>
        <w:pStyle w:val="ae"/>
        <w:spacing w:after="120" w:line="360" w:lineRule="auto"/>
        <w:ind w:left="567"/>
        <w:contextualSpacing w:val="0"/>
        <w:jc w:val="both"/>
        <w:rPr>
          <w:rFonts w:ascii="Arial" w:hAnsi="Arial" w:cs="Arial"/>
          <w:noProof w:val="0"/>
          <w:color w:val="000000"/>
          <w:sz w:val="21"/>
          <w:szCs w:val="21"/>
        </w:rPr>
      </w:pPr>
      <w:r>
        <w:rPr>
          <w:rFonts w:hint="cs"/>
          <w:rtl/>
        </w:rPr>
        <w:t>וסעיף 3(ב) קובע, כי "</w:t>
      </w:r>
      <w:r w:rsidRPr="004E1C32">
        <w:rPr>
          <w:b/>
          <w:bCs/>
          <w:rtl/>
        </w:rPr>
        <w:t>בני זוג שלא ביקשו אימות של הסכם ממון בהתאם לסעיף 2(ג), יסביר להם רושם הנישואין לפני עריכתם את תכנו ומשמעותו של סעיף קטן (א)</w:t>
      </w:r>
      <w:r>
        <w:rPr>
          <w:rFonts w:hint="cs"/>
          <w:rtl/>
        </w:rPr>
        <w:t>"</w:t>
      </w:r>
      <w:r w:rsidRPr="004E1C32">
        <w:rPr>
          <w:rFonts w:ascii="Arial" w:hAnsi="Arial" w:cs="Arial"/>
          <w:noProof w:val="0"/>
          <w:color w:val="000000"/>
          <w:sz w:val="21"/>
          <w:szCs w:val="21"/>
        </w:rPr>
        <w:t>.</w:t>
      </w:r>
    </w:p>
    <w:p w:rsidR="007B0611" w:rsidRDefault="00310BB0" w:rsidP="005025BB">
      <w:pPr>
        <w:pStyle w:val="ae"/>
        <w:numPr>
          <w:ilvl w:val="0"/>
          <w:numId w:val="2"/>
        </w:numPr>
        <w:spacing w:after="120" w:line="360" w:lineRule="auto"/>
        <w:ind w:left="567" w:hanging="567"/>
        <w:contextualSpacing w:val="0"/>
        <w:jc w:val="both"/>
      </w:pPr>
      <w:r>
        <w:rPr>
          <w:rFonts w:hint="cs"/>
          <w:rtl/>
        </w:rPr>
        <w:lastRenderedPageBreak/>
        <w:t>ב</w:t>
      </w:r>
      <w:r w:rsidR="00A6171A">
        <w:rPr>
          <w:rFonts w:hint="cs"/>
          <w:rtl/>
        </w:rPr>
        <w:t xml:space="preserve">ע"מ (ירושלים) 1078/06 </w:t>
      </w:r>
      <w:r w:rsidR="00A6171A">
        <w:rPr>
          <w:rFonts w:hint="cs"/>
          <w:b/>
          <w:bCs/>
          <w:rtl/>
        </w:rPr>
        <w:t>פלוני נ' פלונית (10.5.2009)</w:t>
      </w:r>
      <w:r>
        <w:rPr>
          <w:rFonts w:hint="cs"/>
          <w:rtl/>
        </w:rPr>
        <w:t xml:space="preserve"> נחלקו חברי ההרכב ביחס לבירור הנדרש כדי לקבוע האם טופס הסכם נשואין מהווה הסכם ממון על פי </w:t>
      </w:r>
      <w:r w:rsidRPr="00310BB0">
        <w:rPr>
          <w:rFonts w:hint="cs"/>
          <w:rtl/>
        </w:rPr>
        <w:t xml:space="preserve">סעיף 2 </w:t>
      </w:r>
      <w:r w:rsidR="005025BB" w:rsidRPr="005025BB">
        <w:rPr>
          <w:rFonts w:hint="cs"/>
          <w:rtl/>
        </w:rPr>
        <w:t>לחוק יחסי ממון</w:t>
      </w:r>
      <w:r w:rsidR="005025BB">
        <w:rPr>
          <w:rFonts w:hint="cs"/>
          <w:rtl/>
        </w:rPr>
        <w:t>.</w:t>
      </w:r>
      <w:r w:rsidRPr="00310BB0">
        <w:rPr>
          <w:rFonts w:hint="cs"/>
          <w:rtl/>
        </w:rPr>
        <w:t xml:space="preserve"> </w:t>
      </w:r>
    </w:p>
    <w:p w:rsidR="0095372D" w:rsidRPr="00310BB0" w:rsidRDefault="00310BB0" w:rsidP="007B0611">
      <w:pPr>
        <w:pStyle w:val="ae"/>
        <w:spacing w:after="120" w:line="360" w:lineRule="auto"/>
        <w:ind w:left="567"/>
        <w:contextualSpacing w:val="0"/>
        <w:jc w:val="both"/>
      </w:pPr>
      <w:r w:rsidRPr="00310BB0">
        <w:rPr>
          <w:rFonts w:hint="cs"/>
          <w:rtl/>
        </w:rPr>
        <w:t>כבוד השופט דרורי (בדעת הרב) קבע, כך:</w:t>
      </w:r>
    </w:p>
    <w:p w:rsidR="00A67A42" w:rsidRDefault="00167487" w:rsidP="005025BB">
      <w:pPr>
        <w:spacing w:after="120" w:line="360" w:lineRule="auto"/>
        <w:ind w:left="1134" w:right="1560"/>
        <w:jc w:val="both"/>
        <w:rPr>
          <w:rtl/>
        </w:rPr>
      </w:pPr>
      <w:r w:rsidRPr="00A67A42">
        <w:rPr>
          <w:rFonts w:hint="cs"/>
          <w:b/>
          <w:bCs/>
          <w:rtl/>
        </w:rPr>
        <w:t>"</w:t>
      </w:r>
      <w:r w:rsidR="00A67A42" w:rsidRPr="00A67A42">
        <w:rPr>
          <w:b/>
          <w:bCs/>
          <w:rtl/>
        </w:rPr>
        <w:t xml:space="preserve">אוסיף ואומר, כי כדי לשלול את עיקרון השוויון בין בני הזוג, ואת תחולתו על היחסים הרכושיים בין בני הזוג, רעיון שמקורו ויסודו עוד בחוק שיווי זכויות האישה, תשי"א </w:t>
      </w:r>
      <w:r w:rsidR="005025BB">
        <w:rPr>
          <w:b/>
          <w:bCs/>
          <w:rtl/>
        </w:rPr>
        <w:t>–</w:t>
      </w:r>
      <w:r w:rsidR="00A67A42" w:rsidRPr="00A67A42">
        <w:rPr>
          <w:b/>
          <w:bCs/>
          <w:rtl/>
        </w:rPr>
        <w:t xml:space="preserve"> 1951</w:t>
      </w:r>
      <w:r w:rsidR="005025BB">
        <w:rPr>
          <w:rFonts w:hint="cs"/>
          <w:b/>
          <w:bCs/>
          <w:rtl/>
        </w:rPr>
        <w:t>... י</w:t>
      </w:r>
      <w:r w:rsidR="00A67A42" w:rsidRPr="00A67A42">
        <w:rPr>
          <w:b/>
          <w:bCs/>
          <w:rtl/>
        </w:rPr>
        <w:t>ש צורך בהסכמה שהיא </w:t>
      </w:r>
      <w:r w:rsidR="00A67A42">
        <w:rPr>
          <w:rFonts w:hint="cs"/>
          <w:b/>
          <w:bCs/>
          <w:rtl/>
        </w:rPr>
        <w:t>'</w:t>
      </w:r>
      <w:r w:rsidR="00A67A42" w:rsidRPr="00A67A42">
        <w:rPr>
          <w:b/>
          <w:bCs/>
          <w:rtl/>
        </w:rPr>
        <w:t>מפורשת, פוזיטיבית, ולא הסכמה שהיא... סתמית, כוללנית, ללא כל פירוט ואיננה מתייחסת כלל להסדר רכושי, ממוני, לעת גירושי</w:t>
      </w:r>
      <w:r w:rsidR="00A67A42">
        <w:rPr>
          <w:rFonts w:hint="cs"/>
          <w:b/>
          <w:bCs/>
          <w:rtl/>
        </w:rPr>
        <w:t>ן'</w:t>
      </w:r>
      <w:r w:rsidR="00A67A42">
        <w:rPr>
          <w:rFonts w:hint="cs"/>
          <w:rtl/>
        </w:rPr>
        <w:t>...</w:t>
      </w:r>
    </w:p>
    <w:p w:rsidR="00A67A42" w:rsidRDefault="00A67A42" w:rsidP="00167487">
      <w:pPr>
        <w:spacing w:after="120" w:line="360" w:lineRule="auto"/>
        <w:ind w:left="1134" w:right="1560"/>
        <w:jc w:val="both"/>
        <w:rPr>
          <w:rtl/>
        </w:rPr>
      </w:pPr>
      <w:r>
        <w:rPr>
          <w:rFonts w:hint="cs"/>
          <w:rtl/>
        </w:rPr>
        <w:t>...</w:t>
      </w:r>
    </w:p>
    <w:p w:rsidR="00310BB0" w:rsidRPr="00167487" w:rsidRDefault="00310BB0" w:rsidP="00167487">
      <w:pPr>
        <w:spacing w:after="120" w:line="360" w:lineRule="auto"/>
        <w:ind w:left="1134" w:right="1560"/>
        <w:jc w:val="both"/>
        <w:rPr>
          <w:b/>
          <w:bCs/>
        </w:rPr>
      </w:pPr>
      <w:r w:rsidRPr="00167487">
        <w:rPr>
          <w:b/>
          <w:bCs/>
          <w:rtl/>
        </w:rPr>
        <w:t>אין חולק, כי רושם הנישואין יכול לבוא במקום בית המשפט או בית הדין, כרשות המאשרת של הסכם ממון בין בני זוג (כאמור </w:t>
      </w:r>
      <w:hyperlink r:id="rId9" w:history="1">
        <w:r w:rsidRPr="00167487">
          <w:rPr>
            <w:b/>
            <w:bCs/>
            <w:rtl/>
          </w:rPr>
          <w:t>בסעיף 2(ג)</w:t>
        </w:r>
      </w:hyperlink>
      <w:r w:rsidRPr="00167487">
        <w:rPr>
          <w:b/>
          <w:bCs/>
          <w:rtl/>
        </w:rPr>
        <w:t> לחוק). אך, עדיין מוטלת החובה גם עליו - כמו על בית המשפט ועל בית הדין -  להיווכח, שאכן בני הזוג עשו את ההסכם בהסכמה חופשית, ובהבינם את משמעותו ואת תוצאותיו, כנדרש </w:t>
      </w:r>
      <w:hyperlink r:id="rId10" w:history="1">
        <w:r w:rsidRPr="00167487">
          <w:rPr>
            <w:b/>
            <w:bCs/>
            <w:rtl/>
          </w:rPr>
          <w:t>בסעיף 2(ב)</w:t>
        </w:r>
      </w:hyperlink>
      <w:r w:rsidRPr="00167487">
        <w:rPr>
          <w:b/>
          <w:bCs/>
          <w:rtl/>
        </w:rPr>
        <w:t> לחוק.</w:t>
      </w:r>
    </w:p>
    <w:p w:rsidR="00310BB0" w:rsidRPr="00167487" w:rsidRDefault="00310BB0" w:rsidP="00167487">
      <w:pPr>
        <w:pStyle w:val="ae"/>
        <w:spacing w:after="120" w:line="360" w:lineRule="auto"/>
        <w:ind w:left="1134" w:right="1560"/>
        <w:contextualSpacing w:val="0"/>
        <w:jc w:val="both"/>
        <w:rPr>
          <w:b/>
          <w:bCs/>
          <w:rtl/>
        </w:rPr>
      </w:pPr>
      <w:r w:rsidRPr="00167487">
        <w:rPr>
          <w:b/>
          <w:bCs/>
          <w:rtl/>
        </w:rPr>
        <w:t>ההסבר לחותמים על הסכם הממון, כולל: הסבר על משמעותו ותוצאותיו, הוא אחד המאפיינים החשובים של הסכם ממון, על פי </w:t>
      </w:r>
      <w:hyperlink r:id="rId11" w:history="1">
        <w:r w:rsidRPr="00167487">
          <w:rPr>
            <w:b/>
            <w:bCs/>
            <w:rtl/>
          </w:rPr>
          <w:t>סעיף 2</w:t>
        </w:r>
      </w:hyperlink>
      <w:r w:rsidRPr="00167487">
        <w:rPr>
          <w:b/>
          <w:bCs/>
          <w:rtl/>
        </w:rPr>
        <w:t> לחוק.</w:t>
      </w:r>
    </w:p>
    <w:p w:rsidR="00310BB0" w:rsidRPr="00167487" w:rsidRDefault="00310BB0" w:rsidP="00167487">
      <w:pPr>
        <w:spacing w:after="120" w:line="360" w:lineRule="auto"/>
        <w:ind w:left="1134" w:right="1560"/>
        <w:jc w:val="both"/>
        <w:rPr>
          <w:b/>
          <w:bCs/>
        </w:rPr>
      </w:pPr>
      <w:r w:rsidRPr="00167487">
        <w:rPr>
          <w:rFonts w:hint="cs"/>
          <w:b/>
          <w:bCs/>
          <w:rtl/>
        </w:rPr>
        <w:t>...</w:t>
      </w:r>
    </w:p>
    <w:p w:rsidR="00A6171A" w:rsidRPr="00167487" w:rsidRDefault="00167487" w:rsidP="00167487">
      <w:pPr>
        <w:spacing w:after="120" w:line="360" w:lineRule="auto"/>
        <w:ind w:left="1134" w:right="1560"/>
        <w:jc w:val="both"/>
        <w:rPr>
          <w:b/>
          <w:bCs/>
        </w:rPr>
      </w:pPr>
      <w:r>
        <w:rPr>
          <w:rFonts w:hint="cs"/>
          <w:b/>
          <w:bCs/>
          <w:rtl/>
        </w:rPr>
        <w:t>...</w:t>
      </w:r>
      <w:r w:rsidR="00A6171A" w:rsidRPr="00167487">
        <w:rPr>
          <w:b/>
          <w:bCs/>
          <w:rtl/>
        </w:rPr>
        <w:t xml:space="preserve">הסכם הממון מוציא את תחולת הסדר איזון המשאבים, הקבוע בפרק השני של תיק יחסי ממון, לכן, צד אשר רוצה להתבסס על הסכם ממון ספציפי </w:t>
      </w:r>
      <w:r>
        <w:rPr>
          <w:rFonts w:hint="cs"/>
          <w:b/>
          <w:bCs/>
          <w:rtl/>
        </w:rPr>
        <w:t>...</w:t>
      </w:r>
      <w:r w:rsidR="00A6171A" w:rsidRPr="00167487">
        <w:rPr>
          <w:b/>
          <w:bCs/>
          <w:rtl/>
        </w:rPr>
        <w:t xml:space="preserve"> צריך להוכיח לא רק שנערך הסכם ממון בין בני הזוג, והוא חתום, אלא מוטל על אותו צד להביא ראיות כי ההסכם, אשר עליו הוא משתית את טיעוניו, עומד בדרישות החוק, דהיינו: בעת חתימת הסכם הממון היה אישור ואימות של בית משפט, בית דין או רשם נישואין, וכי האישור והאימות נעשו, כקבוע </w:t>
      </w:r>
      <w:hyperlink r:id="rId12" w:history="1">
        <w:r w:rsidR="00A6171A" w:rsidRPr="00167487">
          <w:rPr>
            <w:b/>
            <w:bCs/>
            <w:rtl/>
          </w:rPr>
          <w:t>בסעיף 2(ב)</w:t>
        </w:r>
      </w:hyperlink>
      <w:r w:rsidR="00A6171A" w:rsidRPr="00167487">
        <w:rPr>
          <w:b/>
          <w:bCs/>
          <w:rtl/>
        </w:rPr>
        <w:t xml:space="preserve"> לחוק (שצוטט לעיל בפיסקה 24 סיפא), דהיינו: רק לאחר שנוכח הגורם המאשר כי בני הזוג עשו את ההסכם </w:t>
      </w:r>
      <w:r w:rsidR="00A6171A" w:rsidRPr="00167487">
        <w:rPr>
          <w:b/>
          <w:bCs/>
          <w:rtl/>
        </w:rPr>
        <w:lastRenderedPageBreak/>
        <w:t>בהסכמה חופשית, ובהבינם את משמעותו ואת תוצאותיו, כדרישתו של </w:t>
      </w:r>
      <w:hyperlink r:id="rId13" w:history="1">
        <w:r w:rsidR="00A6171A" w:rsidRPr="00167487">
          <w:rPr>
            <w:b/>
            <w:bCs/>
            <w:rtl/>
          </w:rPr>
          <w:t>סעיף 2(ב)</w:t>
        </w:r>
      </w:hyperlink>
      <w:r w:rsidR="00A6171A" w:rsidRPr="00167487">
        <w:rPr>
          <w:b/>
          <w:bCs/>
          <w:rtl/>
        </w:rPr>
        <w:t> סיפא לחוק.</w:t>
      </w:r>
    </w:p>
    <w:p w:rsidR="00A6171A" w:rsidRPr="00167487" w:rsidRDefault="00A6171A" w:rsidP="00A6171A">
      <w:pPr>
        <w:pStyle w:val="ae"/>
        <w:spacing w:after="120" w:line="360" w:lineRule="auto"/>
        <w:ind w:left="1134" w:right="1560"/>
        <w:contextualSpacing w:val="0"/>
        <w:jc w:val="both"/>
        <w:rPr>
          <w:b/>
          <w:bCs/>
          <w:rtl/>
        </w:rPr>
      </w:pPr>
      <w:r w:rsidRPr="00167487">
        <w:rPr>
          <w:b/>
          <w:bCs/>
          <w:rtl/>
        </w:rPr>
        <w:t>אין מדובר בדבר של מה בכך. הליך האישור או האימות חייב להיות רציני. לצורך כך, על הגורם המאשר לשוחח עם הצדדים, להסביר להם את ההסכם, את משמעותו ואת ותוצאותיו. רק לאחר מכן, ולאחר ששוכנע הגורם המאשר, כי בני הזוג אכן הבינו את הסבריו, יבדוק הגורם המאשר עם שני בני הזוג, כאשר כל הידע בידיהם, האם הם חותמים על הסכם ממון, בהסכמה חופשית. רק בסופם של השלבים הללו, רשאי אותו גוף מאשר (בית המשפט, בית הדין או רשם הנישואין) לחתום על כך שמולאו דרישות </w:t>
      </w:r>
      <w:hyperlink r:id="rId14" w:history="1">
        <w:r w:rsidRPr="00167487">
          <w:rPr>
            <w:b/>
            <w:bCs/>
            <w:rtl/>
          </w:rPr>
          <w:t>סעיף 2(ב)</w:t>
        </w:r>
      </w:hyperlink>
      <w:r w:rsidRPr="00167487">
        <w:rPr>
          <w:b/>
          <w:bCs/>
          <w:rtl/>
        </w:rPr>
        <w:t> הנ"ל. ואז, ורק אז, יהיה לפנינו הסכם ממון, כדין</w:t>
      </w:r>
      <w:r w:rsidR="00167487">
        <w:rPr>
          <w:rFonts w:hint="cs"/>
          <w:b/>
          <w:bCs/>
          <w:rtl/>
        </w:rPr>
        <w:t>"</w:t>
      </w:r>
      <w:r w:rsidRPr="00167487">
        <w:rPr>
          <w:b/>
          <w:bCs/>
          <w:rtl/>
        </w:rPr>
        <w:t>.</w:t>
      </w:r>
    </w:p>
    <w:p w:rsidR="00310BB0" w:rsidRDefault="00167487" w:rsidP="00167487">
      <w:pPr>
        <w:pStyle w:val="ae"/>
        <w:spacing w:after="120" w:line="360" w:lineRule="auto"/>
        <w:ind w:left="567"/>
        <w:contextualSpacing w:val="0"/>
        <w:jc w:val="both"/>
        <w:rPr>
          <w:rtl/>
        </w:rPr>
      </w:pPr>
      <w:r w:rsidRPr="00167487">
        <w:rPr>
          <w:rFonts w:hint="cs"/>
          <w:rtl/>
        </w:rPr>
        <w:t xml:space="preserve">אציין, כי שופטי </w:t>
      </w:r>
      <w:r w:rsidR="00A6171A" w:rsidRPr="00167487">
        <w:rPr>
          <w:rFonts w:hint="cs"/>
          <w:rtl/>
        </w:rPr>
        <w:t>הרב (השופט דרורי והשופט צבן) חלקו על כבוד ס. הנשיא חבש אשר קבע חזקה שרושם הנשואין, שהינו נציגו של הקאדי שהוא יסביר לשני בני הזוג את המשמעות של ההתניה המחילה את כללי ההלכה המוסלמית על פני איזון המשא</w:t>
      </w:r>
      <w:r>
        <w:rPr>
          <w:rFonts w:hint="cs"/>
          <w:rtl/>
        </w:rPr>
        <w:t>בים הקבוע בדין היש</w:t>
      </w:r>
      <w:r w:rsidR="00A6171A" w:rsidRPr="00167487">
        <w:rPr>
          <w:rFonts w:hint="cs"/>
          <w:rtl/>
        </w:rPr>
        <w:t xml:space="preserve">ראלי. </w:t>
      </w:r>
    </w:p>
    <w:p w:rsidR="009A575D" w:rsidRPr="009A575D" w:rsidRDefault="009A575D" w:rsidP="00167487">
      <w:pPr>
        <w:pStyle w:val="ae"/>
        <w:spacing w:after="120" w:line="360" w:lineRule="auto"/>
        <w:ind w:left="567"/>
        <w:contextualSpacing w:val="0"/>
        <w:jc w:val="both"/>
        <w:rPr>
          <w:b/>
          <w:bCs/>
          <w:rtl/>
        </w:rPr>
      </w:pPr>
      <w:r>
        <w:rPr>
          <w:rFonts w:hint="cs"/>
          <w:rtl/>
        </w:rPr>
        <w:t xml:space="preserve">בתמ"ש (ירושלים) 11560/04 </w:t>
      </w:r>
      <w:r>
        <w:rPr>
          <w:rFonts w:hint="cs"/>
          <w:b/>
          <w:bCs/>
          <w:rtl/>
        </w:rPr>
        <w:t xml:space="preserve">נ.ב. נ' מ.ב. </w:t>
      </w:r>
      <w:r>
        <w:rPr>
          <w:rFonts w:hint="cs"/>
          <w:rtl/>
        </w:rPr>
        <w:t>(6.6.2008) (עליו הוגש הערעור שהוכרע בפסק הדין בע"מ 1078/06 לעיל) הסבירה כב' השופטת נ' מימון כי הסכם בדבר יחסי ממון בין בני זוג חייב "</w:t>
      </w:r>
      <w:r>
        <w:rPr>
          <w:rFonts w:hint="cs"/>
          <w:b/>
          <w:bCs/>
          <w:rtl/>
        </w:rPr>
        <w:t xml:space="preserve">להיות מפורש, ברור ועל מי שמאשר ההסכם מוטלת החובה להיות משוכנע כי אכן הצדדים הבינו את תוצאות הסכמתם וחתמו מתוך הבנה ורצון חופשי על ההסכם". </w:t>
      </w:r>
      <w:r>
        <w:rPr>
          <w:rFonts w:hint="cs"/>
          <w:rtl/>
        </w:rPr>
        <w:t xml:space="preserve">בית המשפט באותו ענין  נתן משקל לכך שרושם הנשואין לא הבהיר בצורה ברורה ומפורשת כי </w:t>
      </w:r>
      <w:r>
        <w:rPr>
          <w:rFonts w:hint="cs"/>
          <w:b/>
          <w:bCs/>
          <w:rtl/>
        </w:rPr>
        <w:t xml:space="preserve">"הצדדים </w:t>
      </w:r>
      <w:r w:rsidR="00CB5A51">
        <w:rPr>
          <w:rFonts w:hint="cs"/>
          <w:b/>
          <w:bCs/>
          <w:rtl/>
        </w:rPr>
        <w:t>ערכו את ההסכם תוך הבנה ורצון חופשי וכי הבינו את תוצאותיו ומשמעותו".</w:t>
      </w:r>
    </w:p>
    <w:p w:rsidR="00280E2B" w:rsidRPr="00280E2B" w:rsidRDefault="00167487" w:rsidP="002D1B3B">
      <w:pPr>
        <w:pStyle w:val="ae"/>
        <w:numPr>
          <w:ilvl w:val="0"/>
          <w:numId w:val="2"/>
        </w:numPr>
        <w:spacing w:after="120" w:line="360" w:lineRule="auto"/>
        <w:ind w:left="567" w:hanging="567"/>
        <w:contextualSpacing w:val="0"/>
        <w:jc w:val="both"/>
      </w:pPr>
      <w:r>
        <w:rPr>
          <w:rFonts w:hint="cs"/>
          <w:rtl/>
        </w:rPr>
        <w:t xml:space="preserve">בת"א (חיפה) </w:t>
      </w:r>
      <w:r w:rsidR="00280E2B">
        <w:rPr>
          <w:rFonts w:hint="cs"/>
          <w:rtl/>
        </w:rPr>
        <w:t xml:space="preserve">1799/89 </w:t>
      </w:r>
      <w:r w:rsidR="00280E2B">
        <w:rPr>
          <w:rFonts w:hint="cs"/>
          <w:b/>
          <w:bCs/>
          <w:rtl/>
        </w:rPr>
        <w:t xml:space="preserve">דיאב נ' סמיח </w:t>
      </w:r>
      <w:r w:rsidR="00280E2B">
        <w:rPr>
          <w:rFonts w:hint="cs"/>
          <w:rtl/>
        </w:rPr>
        <w:t>(18.5.1993) נדרש כבוד השופט ביין לשאלה "</w:t>
      </w:r>
      <w:r w:rsidR="00280E2B">
        <w:rPr>
          <w:rFonts w:hint="cs"/>
          <w:b/>
          <w:bCs/>
          <w:rtl/>
        </w:rPr>
        <w:t xml:space="preserve">מה משמעותו של תנאי בהסכם הנשואין בו נאמר כי חוק יחסי ממון לא יחול" </w:t>
      </w:r>
      <w:r w:rsidR="00280E2B">
        <w:rPr>
          <w:rFonts w:hint="cs"/>
          <w:rtl/>
        </w:rPr>
        <w:t>ו</w:t>
      </w:r>
      <w:r w:rsidR="00280E2B">
        <w:rPr>
          <w:rFonts w:hint="cs"/>
          <w:b/>
          <w:bCs/>
          <w:rtl/>
        </w:rPr>
        <w:t>"האם יש לראות בו הסכם ממון הדוחה מפניו את הסדר איזון המשאבים בפרק השני לחוק"?"</w:t>
      </w:r>
    </w:p>
    <w:p w:rsidR="00280E2B" w:rsidRDefault="00CB5A51" w:rsidP="00280E2B">
      <w:pPr>
        <w:pStyle w:val="ae"/>
        <w:spacing w:after="120" w:line="360" w:lineRule="auto"/>
        <w:ind w:left="567"/>
        <w:contextualSpacing w:val="0"/>
        <w:jc w:val="both"/>
        <w:rPr>
          <w:b/>
          <w:bCs/>
          <w:rtl/>
        </w:rPr>
      </w:pPr>
      <w:r>
        <w:rPr>
          <w:rFonts w:hint="cs"/>
          <w:rtl/>
        </w:rPr>
        <w:t>בית המשפט ק</w:t>
      </w:r>
      <w:r w:rsidR="00280E2B" w:rsidRPr="00280E2B">
        <w:rPr>
          <w:rFonts w:hint="cs"/>
          <w:rtl/>
        </w:rPr>
        <w:t>בע באותו ענין, כי בכדי להסתמך על תנאי בהסכם הנשואין, יש להוכיח שניתן הסבר על ההשלכות המרחקיות לכת של דחיית ההסדר הקבוע בחוק וכי החוק</w:t>
      </w:r>
      <w:r w:rsidR="00280E2B">
        <w:rPr>
          <w:rFonts w:hint="cs"/>
          <w:b/>
          <w:bCs/>
          <w:rtl/>
        </w:rPr>
        <w:t xml:space="preserve"> "דורש </w:t>
      </w:r>
      <w:r w:rsidR="00280E2B" w:rsidRPr="00280E2B">
        <w:rPr>
          <w:b/>
          <w:bCs/>
          <w:rtl/>
        </w:rPr>
        <w:t>שהנוגע בדבר, קרי בן הזוג, יקבל אישית את ההסבר מהרשות המאשרת והרשות המאשרת צריכה להשתכנע בדבר קיום ההסכמה החופשית אצל הבעל והאשה עצמם ולא אצל אחרים מטעמם, תהא קרבתם המשפחתית או האחרת לבן הזוג, קרובה ככל שתהיה</w:t>
      </w:r>
      <w:r w:rsidR="00280E2B">
        <w:rPr>
          <w:rFonts w:hint="cs"/>
          <w:b/>
          <w:bCs/>
          <w:rtl/>
        </w:rPr>
        <w:t>"</w:t>
      </w:r>
      <w:r w:rsidR="00280E2B" w:rsidRPr="00280E2B">
        <w:rPr>
          <w:b/>
          <w:bCs/>
          <w:rtl/>
        </w:rPr>
        <w:t>.</w:t>
      </w:r>
    </w:p>
    <w:p w:rsidR="00CB5A51" w:rsidRPr="00470F16" w:rsidRDefault="00CB5A51" w:rsidP="00470F16">
      <w:pPr>
        <w:pStyle w:val="ae"/>
        <w:numPr>
          <w:ilvl w:val="0"/>
          <w:numId w:val="2"/>
        </w:numPr>
        <w:spacing w:after="120" w:line="360" w:lineRule="auto"/>
        <w:ind w:left="567" w:hanging="567"/>
        <w:contextualSpacing w:val="0"/>
        <w:jc w:val="both"/>
        <w:rPr>
          <w:b/>
          <w:bCs/>
          <w:rtl/>
        </w:rPr>
      </w:pPr>
      <w:r>
        <w:rPr>
          <w:rFonts w:hint="cs"/>
          <w:rtl/>
        </w:rPr>
        <w:t xml:space="preserve">דברים דומים נקבעו גם בת"א (חיפה) </w:t>
      </w:r>
      <w:r>
        <w:rPr>
          <w:rFonts w:hint="cs"/>
          <w:b/>
          <w:bCs/>
          <w:rtl/>
        </w:rPr>
        <w:t xml:space="preserve">סולימאן יחיא נ' אחמד דאוד עסלי </w:t>
      </w:r>
      <w:r>
        <w:rPr>
          <w:rFonts w:hint="cs"/>
          <w:rtl/>
        </w:rPr>
        <w:t>(30.8.1998) כאשר קבע בית המשפט כי "</w:t>
      </w:r>
      <w:r>
        <w:rPr>
          <w:rFonts w:hint="cs"/>
          <w:b/>
          <w:bCs/>
          <w:rtl/>
        </w:rPr>
        <w:t xml:space="preserve">שינוי הרשות המאשרת </w:t>
      </w:r>
      <w:r>
        <w:rPr>
          <w:rFonts w:hint="cs"/>
          <w:rtl/>
        </w:rPr>
        <w:t>[ה</w:t>
      </w:r>
      <w:r w:rsidR="00470F16">
        <w:rPr>
          <w:rFonts w:hint="cs"/>
          <w:rtl/>
        </w:rPr>
        <w:t xml:space="preserve">סכם ממון] </w:t>
      </w:r>
      <w:r w:rsidR="00470F16">
        <w:rPr>
          <w:rFonts w:hint="cs"/>
          <w:b/>
          <w:bCs/>
          <w:rtl/>
        </w:rPr>
        <w:t xml:space="preserve">מרשות שיפוטית לרושם נישואין, </w:t>
      </w:r>
      <w:r w:rsidR="00470F16">
        <w:rPr>
          <w:rFonts w:hint="cs"/>
          <w:b/>
          <w:bCs/>
          <w:rtl/>
        </w:rPr>
        <w:lastRenderedPageBreak/>
        <w:t xml:space="preserve">אינה משנה  את הדרישה שהיא בעלת אופי מהותי ולא צורני בלבד שהרשות המאשרת תשתכנע הן בדבר קיום ההסכמה החופשית והן בדבר המשמעות והתוצאות של הסכם הממון". </w:t>
      </w:r>
    </w:p>
    <w:p w:rsidR="00D00AF5" w:rsidRPr="00D00AF5" w:rsidRDefault="00D00AF5" w:rsidP="00D00AF5">
      <w:pPr>
        <w:pStyle w:val="ae"/>
        <w:numPr>
          <w:ilvl w:val="0"/>
          <w:numId w:val="2"/>
        </w:numPr>
        <w:spacing w:after="120" w:line="360" w:lineRule="auto"/>
        <w:ind w:left="567" w:hanging="567"/>
        <w:contextualSpacing w:val="0"/>
        <w:jc w:val="both"/>
      </w:pPr>
      <w:r>
        <w:rPr>
          <w:rFonts w:hint="cs"/>
          <w:rtl/>
        </w:rPr>
        <w:t xml:space="preserve">בהקשר זה ראו גם תלה"מ (קריות) 30030-01-21 </w:t>
      </w:r>
      <w:r>
        <w:rPr>
          <w:rFonts w:hint="cs"/>
          <w:b/>
          <w:bCs/>
          <w:rtl/>
        </w:rPr>
        <w:t xml:space="preserve">פלוני נ' אלמונית </w:t>
      </w:r>
      <w:r>
        <w:rPr>
          <w:rFonts w:hint="cs"/>
          <w:rtl/>
        </w:rPr>
        <w:t xml:space="preserve">(27.4.2011) אשר קבע את הצורך בבירור הסכמה ברורה והבנה של הוראות ההסכם בעת אישור הסכם בפני רושם נישואין (שם מדובר היה ברישום נשואין באיטליה). בפסק הדין האמור הוזכרו שורת פסקי דין הקובעים, כי אישור המתחיב על פי חוק יחסי ממון נועד להבטיח </w:t>
      </w:r>
      <w:r w:rsidR="00E97177">
        <w:rPr>
          <w:rFonts w:hint="cs"/>
          <w:rtl/>
        </w:rPr>
        <w:t xml:space="preserve">גמירת דעת מצד שני בני הזוג, את המשמעות ואת תוצאותיו של ההסכם (סעיפים 83-67). </w:t>
      </w:r>
    </w:p>
    <w:p w:rsidR="00E97177" w:rsidRDefault="00E97177" w:rsidP="00D00AF5">
      <w:pPr>
        <w:pStyle w:val="ae"/>
        <w:numPr>
          <w:ilvl w:val="0"/>
          <w:numId w:val="2"/>
        </w:numPr>
        <w:spacing w:after="120" w:line="360" w:lineRule="auto"/>
        <w:ind w:left="567" w:hanging="567"/>
        <w:contextualSpacing w:val="0"/>
        <w:jc w:val="both"/>
      </w:pPr>
      <w:r>
        <w:rPr>
          <w:rFonts w:hint="cs"/>
          <w:rtl/>
        </w:rPr>
        <w:t>כלומר, בכדי לקבוע שהסכם תנאי הנשו</w:t>
      </w:r>
      <w:r w:rsidR="005025BB">
        <w:rPr>
          <w:rFonts w:hint="cs"/>
          <w:rtl/>
        </w:rPr>
        <w:t xml:space="preserve">אין מהווה הסכם ממון במשמעו לפי </w:t>
      </w:r>
      <w:r>
        <w:rPr>
          <w:rFonts w:hint="cs"/>
          <w:rtl/>
        </w:rPr>
        <w:t xml:space="preserve">חוק </w:t>
      </w:r>
      <w:r w:rsidR="005025BB">
        <w:rPr>
          <w:rFonts w:hint="cs"/>
          <w:rtl/>
        </w:rPr>
        <w:t xml:space="preserve">יחסי ממון </w:t>
      </w:r>
      <w:r>
        <w:rPr>
          <w:rFonts w:hint="cs"/>
          <w:rtl/>
        </w:rPr>
        <w:t>יש להוכיח את נסיבות החתימה, להתייחס למעמד החתימה, לפרט מה הוסבר לצדדים ומה הובן על ידיהם ו</w:t>
      </w:r>
      <w:r w:rsidR="00E951D2">
        <w:rPr>
          <w:rFonts w:hint="cs"/>
          <w:rtl/>
        </w:rPr>
        <w:t>לוודא שהסכמת הצדדים לקביעת ההסכם כ"הסכם ממון" מכח הוראות החוק האמור ניתנה "מכלי ראשון".</w:t>
      </w:r>
    </w:p>
    <w:p w:rsidR="00E951D2" w:rsidRDefault="00E951D2" w:rsidP="00470F16">
      <w:pPr>
        <w:pStyle w:val="ae"/>
        <w:numPr>
          <w:ilvl w:val="0"/>
          <w:numId w:val="2"/>
        </w:numPr>
        <w:spacing w:after="120" w:line="360" w:lineRule="auto"/>
        <w:ind w:left="567" w:hanging="567"/>
        <w:contextualSpacing w:val="0"/>
        <w:jc w:val="both"/>
      </w:pPr>
      <w:r>
        <w:rPr>
          <w:rFonts w:hint="cs"/>
          <w:rtl/>
        </w:rPr>
        <w:t xml:space="preserve">מאחר והצדדים נשואים, ברירת המחדל היא החלת הוראות חוק יחסי ממון ועל כן הנטל לסתור חזקה זו היא על כתפי הגורם הטוען כי ההוראות הקובעות איזון לא חלות </w:t>
      </w:r>
      <w:r w:rsidR="00470F16">
        <w:rPr>
          <w:rFonts w:hint="cs"/>
          <w:rtl/>
        </w:rPr>
        <w:t>-</w:t>
      </w:r>
      <w:r>
        <w:rPr>
          <w:rFonts w:hint="cs"/>
          <w:rtl/>
        </w:rPr>
        <w:t xml:space="preserve"> האיש. </w:t>
      </w:r>
    </w:p>
    <w:p w:rsidR="00E951D2" w:rsidRDefault="00E951D2" w:rsidP="00E951D2">
      <w:pPr>
        <w:pStyle w:val="ae"/>
        <w:spacing w:after="120" w:line="360" w:lineRule="auto"/>
        <w:ind w:left="567"/>
        <w:contextualSpacing w:val="0"/>
        <w:jc w:val="both"/>
        <w:rPr>
          <w:rtl/>
        </w:rPr>
      </w:pPr>
      <w:r>
        <w:rPr>
          <w:rFonts w:hint="cs"/>
          <w:rtl/>
        </w:rPr>
        <w:t xml:space="preserve">האיש לא צרף תרגום של הסכם הנשואין, לא חקר את האישה על טענה זו, לא עימת אותה עם המשמעות של אי התחולה, ההתייחסות לטענה זו בסיכומי האיש היא בעקיפין (במסגרת הדיון על התייחסות בהסכם הנשואין לנכס המקרקעין הרשום על שם האב ולא ביחס למשטר שיחול על נכסים שנצברו על ידי מי מבני הזוג במהלך הנשואין (סעיף 20)) - באופן שמלמד על כך שהאיש לא עומד על הטענה. </w:t>
      </w:r>
    </w:p>
    <w:p w:rsidR="00E951D2" w:rsidRDefault="00E951D2" w:rsidP="00E951D2">
      <w:pPr>
        <w:pStyle w:val="ae"/>
        <w:spacing w:after="120" w:line="360" w:lineRule="auto"/>
        <w:ind w:left="567"/>
        <w:contextualSpacing w:val="0"/>
        <w:jc w:val="both"/>
        <w:rPr>
          <w:rtl/>
        </w:rPr>
      </w:pPr>
      <w:r>
        <w:rPr>
          <w:rFonts w:hint="cs"/>
          <w:rtl/>
        </w:rPr>
        <w:t xml:space="preserve">האיש לא הוכיח שניתן הסבר לצדדים ביחס לתוכנו ומשמעותו של התנאי שמבוקש להכיר בו כהסכם ממון ולא נטען דבר לגבי נסיבות המלמדות על כך שההסכם נעשה כך שהצדדים הבינו "את משמעותו ואת תוצאותיו" של ההסכם. </w:t>
      </w:r>
    </w:p>
    <w:p w:rsidR="00AF11BB" w:rsidRDefault="00E951D2" w:rsidP="00AF11BB">
      <w:pPr>
        <w:pStyle w:val="ae"/>
        <w:spacing w:after="120" w:line="360" w:lineRule="auto"/>
        <w:ind w:left="567"/>
        <w:contextualSpacing w:val="0"/>
        <w:jc w:val="both"/>
        <w:rPr>
          <w:rtl/>
        </w:rPr>
      </w:pPr>
      <w:r>
        <w:rPr>
          <w:rFonts w:hint="cs"/>
          <w:rtl/>
        </w:rPr>
        <w:t xml:space="preserve">מהעדויות עולה, כי האישה כלל לא נכחה בעת </w:t>
      </w:r>
      <w:r w:rsidR="00DA76E0">
        <w:rPr>
          <w:rFonts w:hint="cs"/>
          <w:rtl/>
        </w:rPr>
        <w:t>הצגת תנאי ההסכם ו</w:t>
      </w:r>
      <w:r w:rsidR="00AF11BB">
        <w:rPr>
          <w:rFonts w:hint="cs"/>
          <w:rtl/>
        </w:rPr>
        <w:t>עריכת חוזה הנשואין וכשנדרשה לחתום, הובא אליה הנוסח לחתימה והיא חתמה (עמ' 41, ש' 30-21)</w:t>
      </w:r>
      <w:r>
        <w:rPr>
          <w:rFonts w:hint="cs"/>
          <w:rtl/>
        </w:rPr>
        <w:t>.</w:t>
      </w:r>
      <w:r w:rsidR="00256289">
        <w:rPr>
          <w:rFonts w:hint="cs"/>
          <w:rtl/>
        </w:rPr>
        <w:t xml:space="preserve"> האישה העידה כי היא לא יודעת מה הצהיר האיש בעת עריכת ההסכם ולא נכחה (עמ' 42, ש' 24-21).</w:t>
      </w:r>
      <w:r>
        <w:rPr>
          <w:rFonts w:hint="cs"/>
          <w:rtl/>
        </w:rPr>
        <w:t xml:space="preserve"> </w:t>
      </w:r>
    </w:p>
    <w:p w:rsidR="00E951D2" w:rsidRDefault="00E951D2" w:rsidP="00741F84">
      <w:pPr>
        <w:pStyle w:val="ae"/>
        <w:spacing w:after="120" w:line="360" w:lineRule="auto"/>
        <w:ind w:left="567"/>
        <w:contextualSpacing w:val="0"/>
        <w:jc w:val="both"/>
        <w:rPr>
          <w:rtl/>
        </w:rPr>
      </w:pPr>
      <w:r>
        <w:rPr>
          <w:rFonts w:hint="cs"/>
          <w:rtl/>
        </w:rPr>
        <w:t>העד מטעם האישה</w:t>
      </w:r>
      <w:r w:rsidR="00FC2A1D">
        <w:rPr>
          <w:rFonts w:hint="cs"/>
          <w:rtl/>
        </w:rPr>
        <w:t xml:space="preserve">, מר </w:t>
      </w:r>
      <w:r w:rsidR="00741F84">
        <w:rPr>
          <w:rFonts w:hint="cs"/>
          <w:rtl/>
        </w:rPr>
        <w:t>ר'</w:t>
      </w:r>
      <w:r w:rsidR="00FC2A1D">
        <w:rPr>
          <w:rFonts w:hint="cs"/>
          <w:rtl/>
        </w:rPr>
        <w:t>,</w:t>
      </w:r>
      <w:r>
        <w:rPr>
          <w:rFonts w:hint="cs"/>
          <w:rtl/>
        </w:rPr>
        <w:t xml:space="preserve"> </w:t>
      </w:r>
      <w:r w:rsidR="00FC2A1D">
        <w:rPr>
          <w:rFonts w:hint="cs"/>
          <w:rtl/>
        </w:rPr>
        <w:t xml:space="preserve">אשר חתם על ההסכם עריכת הנשואין (עמ' 12, ש' 18) </w:t>
      </w:r>
      <w:r>
        <w:rPr>
          <w:rFonts w:hint="cs"/>
          <w:rtl/>
        </w:rPr>
        <w:t xml:space="preserve">נשאל על התנאי שסוכם </w:t>
      </w:r>
      <w:r w:rsidR="00FC2A1D">
        <w:rPr>
          <w:rFonts w:hint="cs"/>
          <w:rtl/>
        </w:rPr>
        <w:t>בדבר</w:t>
      </w:r>
      <w:r>
        <w:rPr>
          <w:rFonts w:hint="cs"/>
          <w:rtl/>
        </w:rPr>
        <w:t xml:space="preserve"> אי החל</w:t>
      </w:r>
      <w:r w:rsidR="00FC2A1D">
        <w:rPr>
          <w:rFonts w:hint="cs"/>
          <w:rtl/>
        </w:rPr>
        <w:t>ת החוק והשיב "</w:t>
      </w:r>
      <w:r w:rsidR="00FC2A1D" w:rsidRPr="00FC2A1D">
        <w:rPr>
          <w:rFonts w:hint="cs"/>
          <w:b/>
          <w:bCs/>
          <w:rtl/>
        </w:rPr>
        <w:t>אני לא קראתי את החוזה בזמנו, בא אמאם, כותב את החוזה מה שבדרך כלל נהוג... באים עם בקשה, מסכימים לדברים, בא אמאם, כותב את החוזה ואנחנו אפילו לא קראנו</w:t>
      </w:r>
      <w:r w:rsidR="00FC2A1D">
        <w:rPr>
          <w:rFonts w:hint="cs"/>
          <w:rtl/>
        </w:rPr>
        <w:t xml:space="preserve">" (עמ' 12, ש' 32-26). </w:t>
      </w:r>
    </w:p>
    <w:p w:rsidR="00FC2A1D" w:rsidRDefault="00FC2A1D" w:rsidP="00741F84">
      <w:pPr>
        <w:pStyle w:val="ae"/>
        <w:spacing w:after="120" w:line="360" w:lineRule="auto"/>
        <w:ind w:left="567"/>
        <w:contextualSpacing w:val="0"/>
        <w:jc w:val="both"/>
        <w:rPr>
          <w:rtl/>
        </w:rPr>
      </w:pPr>
      <w:r>
        <w:rPr>
          <w:rFonts w:hint="cs"/>
          <w:rtl/>
        </w:rPr>
        <w:lastRenderedPageBreak/>
        <w:t>גם מר ג' העיד, כי נ</w:t>
      </w:r>
      <w:r w:rsidR="00AF11BB">
        <w:rPr>
          <w:rFonts w:hint="cs"/>
          <w:rtl/>
        </w:rPr>
        <w:t>כ</w:t>
      </w:r>
      <w:r>
        <w:rPr>
          <w:rFonts w:hint="cs"/>
          <w:rtl/>
        </w:rPr>
        <w:t>ח בעת חתימת הסכם הנשואין (עמ' 13, ש' 14) אך לא קרא את ההוראות (עמ' 13, ש' 20-14).</w:t>
      </w:r>
    </w:p>
    <w:p w:rsidR="00FC2A1D" w:rsidRDefault="00FC2A1D" w:rsidP="00256289">
      <w:pPr>
        <w:pStyle w:val="ae"/>
        <w:spacing w:after="120" w:line="360" w:lineRule="auto"/>
        <w:ind w:left="567"/>
        <w:contextualSpacing w:val="0"/>
        <w:jc w:val="both"/>
        <w:rPr>
          <w:rtl/>
        </w:rPr>
      </w:pPr>
      <w:r>
        <w:rPr>
          <w:rFonts w:hint="cs"/>
          <w:rtl/>
        </w:rPr>
        <w:t xml:space="preserve">אציין, כי האיש התמקד בחקירת העדים ביחס לנסיבות עריכת הסכם הנשואין בהקשר של אי הסדרת זכויות בנכס המקרקעין </w:t>
      </w:r>
      <w:r w:rsidR="00AF11BB">
        <w:rPr>
          <w:rFonts w:hint="cs"/>
          <w:rtl/>
        </w:rPr>
        <w:t>(למשל עמ' 22, ש' 22-19)</w:t>
      </w:r>
      <w:r w:rsidR="00256289">
        <w:rPr>
          <w:rFonts w:hint="cs"/>
          <w:rtl/>
        </w:rPr>
        <w:t xml:space="preserve"> ולא ביחס למשמעות הקביעה של אי תחולת החוק וכי </w:t>
      </w:r>
      <w:r>
        <w:rPr>
          <w:rFonts w:hint="cs"/>
          <w:rtl/>
        </w:rPr>
        <w:t>התשתית שהוצגה ביחס לתנאי שנכלל בהסכם הנשואין ביחס למשטר השיתופי שיחול מצומצת במיוחד ולא ה</w:t>
      </w:r>
      <w:r w:rsidR="00AF11BB">
        <w:rPr>
          <w:rFonts w:hint="cs"/>
          <w:rtl/>
        </w:rPr>
        <w:t>וצגה בהקשר זה גרסה סדורה ומגובשת ביחס לנסיבות אישור ההסכם ומשמעות הסעיף בהיבט המשפטי.</w:t>
      </w:r>
    </w:p>
    <w:p w:rsidR="00256289" w:rsidRDefault="00256289" w:rsidP="00256289">
      <w:pPr>
        <w:pStyle w:val="ae"/>
        <w:spacing w:after="120" w:line="360" w:lineRule="auto"/>
        <w:ind w:left="567"/>
        <w:contextualSpacing w:val="0"/>
        <w:jc w:val="both"/>
        <w:rPr>
          <w:rtl/>
        </w:rPr>
      </w:pPr>
      <w:r>
        <w:rPr>
          <w:rFonts w:hint="cs"/>
          <w:rtl/>
        </w:rPr>
        <w:t xml:space="preserve">אוסיף, כי האיש לא טען מהו המשטר הרכושי שיחול, אם הוסכם שלא יחול הסדר של איזון משאבים ולא הסביר מה עמדתו ביחס לזכויות הצדדים ברכוש שנצבר משך השנים ככל שלא חל הסדר איזון. </w:t>
      </w:r>
    </w:p>
    <w:p w:rsidR="00256289" w:rsidRDefault="00256289" w:rsidP="004F47E5">
      <w:pPr>
        <w:pStyle w:val="ae"/>
        <w:numPr>
          <w:ilvl w:val="0"/>
          <w:numId w:val="2"/>
        </w:numPr>
        <w:spacing w:after="120" w:line="360" w:lineRule="auto"/>
        <w:ind w:left="567" w:hanging="567"/>
        <w:contextualSpacing w:val="0"/>
        <w:jc w:val="both"/>
      </w:pPr>
      <w:r>
        <w:rPr>
          <w:rFonts w:hint="cs"/>
          <w:rtl/>
        </w:rPr>
        <w:t xml:space="preserve">על כן, בנסיבות בהן לא הובאו עדויות מטעם האיש לגבי העמידה בתנאי החוק ביחס לאישור הסכם ממון, בנסיבות בהן כלל לא נטען לגבי הבנת הצדדים את התנאי ומשמעותו, בשים לב לעדותה של האישה כי לא נכחה בעת הדיונים אלא רק חתמה על הנוסח שגובש מבלי שהוסבר לה ובהעדר פירוט </w:t>
      </w:r>
      <w:r w:rsidR="004F47E5">
        <w:rPr>
          <w:rFonts w:hint="cs"/>
          <w:rtl/>
        </w:rPr>
        <w:t>וראיות לקיום תנאי סעיף 3(ב)</w:t>
      </w:r>
      <w:r>
        <w:rPr>
          <w:rFonts w:hint="cs"/>
          <w:rtl/>
        </w:rPr>
        <w:t xml:space="preserve"> וסעיף 2(ב) לחוק </w:t>
      </w:r>
      <w:r w:rsidR="004F47E5">
        <w:rPr>
          <w:rFonts w:hint="cs"/>
          <w:rtl/>
        </w:rPr>
        <w:t>יחסי ממון -</w:t>
      </w:r>
      <w:r>
        <w:rPr>
          <w:rFonts w:hint="cs"/>
          <w:rtl/>
        </w:rPr>
        <w:t xml:space="preserve"> איני מקבלת את טענת האיש בדבר אי תחולה של הסדר איזון המשאבים הקבוע בחוק. </w:t>
      </w:r>
    </w:p>
    <w:p w:rsidR="00B62518" w:rsidRDefault="004F47E5" w:rsidP="00E951D2">
      <w:pPr>
        <w:pStyle w:val="ae"/>
        <w:numPr>
          <w:ilvl w:val="0"/>
          <w:numId w:val="2"/>
        </w:numPr>
        <w:spacing w:after="120" w:line="360" w:lineRule="auto"/>
        <w:ind w:left="567" w:hanging="567"/>
        <w:contextualSpacing w:val="0"/>
        <w:jc w:val="both"/>
      </w:pPr>
      <w:r>
        <w:rPr>
          <w:rFonts w:hint="cs"/>
          <w:rtl/>
        </w:rPr>
        <w:t>אוסיף, כי</w:t>
      </w:r>
      <w:r w:rsidR="00256289">
        <w:rPr>
          <w:rFonts w:hint="cs"/>
          <w:rtl/>
        </w:rPr>
        <w:t xml:space="preserve"> גם אם </w:t>
      </w:r>
      <w:r w:rsidR="00B62518">
        <w:rPr>
          <w:rFonts w:hint="cs"/>
          <w:rtl/>
        </w:rPr>
        <w:t xml:space="preserve">הייתה מתקבלת הטענה, כי הסכם הנשואין הכולל תנאי של העדר תחולה לחוק יחסי ממון מהווה הסכם ממון שאושר על ידי גורם מוסמך לאחר שמולאו כל התנאים הנדרשים בחוק </w:t>
      </w:r>
      <w:r>
        <w:rPr>
          <w:rFonts w:hint="cs"/>
          <w:rtl/>
        </w:rPr>
        <w:t xml:space="preserve">יחסי ממון </w:t>
      </w:r>
      <w:r w:rsidR="00B62518">
        <w:rPr>
          <w:rFonts w:hint="cs"/>
          <w:rtl/>
        </w:rPr>
        <w:t>ביחס לאופן האישור וכי התמלא התנאי של הבנה של המשמעות והתוצאות איני סבורה שהיה הדבר מוביל לתוצאה שונה באופן מהותי מהתוצאה אליה אגיע בהחלת הסדר איזון המשאבים.</w:t>
      </w:r>
    </w:p>
    <w:p w:rsidR="004F47E5" w:rsidRDefault="00B62518" w:rsidP="004F47E5">
      <w:pPr>
        <w:pStyle w:val="ae"/>
        <w:spacing w:after="120" w:line="360" w:lineRule="auto"/>
        <w:ind w:left="567"/>
        <w:contextualSpacing w:val="0"/>
        <w:jc w:val="both"/>
        <w:rPr>
          <w:rtl/>
        </w:rPr>
      </w:pPr>
      <w:r>
        <w:rPr>
          <w:rFonts w:hint="cs"/>
          <w:rtl/>
        </w:rPr>
        <w:t xml:space="preserve">אסביר </w:t>
      </w:r>
      <w:r w:rsidR="004F47E5">
        <w:rPr>
          <w:rFonts w:hint="cs"/>
          <w:rtl/>
        </w:rPr>
        <w:t>-</w:t>
      </w:r>
      <w:r>
        <w:rPr>
          <w:rFonts w:hint="cs"/>
          <w:rtl/>
        </w:rPr>
        <w:t xml:space="preserve"> </w:t>
      </w:r>
    </w:p>
    <w:p w:rsidR="00B62518" w:rsidRDefault="00B62518" w:rsidP="00470F16">
      <w:pPr>
        <w:pStyle w:val="ae"/>
        <w:spacing w:after="120" w:line="360" w:lineRule="auto"/>
        <w:ind w:left="567"/>
        <w:contextualSpacing w:val="0"/>
        <w:jc w:val="both"/>
        <w:rPr>
          <w:rtl/>
        </w:rPr>
      </w:pPr>
      <w:r>
        <w:rPr>
          <w:rFonts w:hint="cs"/>
          <w:rtl/>
        </w:rPr>
        <w:t xml:space="preserve">ככל </w:t>
      </w:r>
      <w:r w:rsidR="004F47E5">
        <w:rPr>
          <w:rFonts w:hint="cs"/>
          <w:rtl/>
        </w:rPr>
        <w:t>שאין תחולה של הסדר איזון משאבים</w:t>
      </w:r>
      <w:r>
        <w:rPr>
          <w:rFonts w:hint="cs"/>
          <w:rtl/>
        </w:rPr>
        <w:t xml:space="preserve"> </w:t>
      </w:r>
      <w:r w:rsidR="004F47E5">
        <w:rPr>
          <w:rFonts w:hint="cs"/>
          <w:rtl/>
        </w:rPr>
        <w:t>(</w:t>
      </w:r>
      <w:r>
        <w:rPr>
          <w:rFonts w:hint="cs"/>
          <w:rtl/>
        </w:rPr>
        <w:t>הסדר "ברירת המחדל" הקבוע בחוק</w:t>
      </w:r>
      <w:r w:rsidR="004F47E5">
        <w:rPr>
          <w:rFonts w:hint="cs"/>
          <w:rtl/>
        </w:rPr>
        <w:t xml:space="preserve"> יחסי ממון)</w:t>
      </w:r>
      <w:r>
        <w:rPr>
          <w:rFonts w:hint="cs"/>
          <w:rtl/>
        </w:rPr>
        <w:t>, יש לבחון מה כוונת הצדדים ביחס לשיתוף ברכוש שנצבר משך תקופת החיים המשותפת ומה ניתן ללמוד מאופן ההתנהלות המשותף שלהם.</w:t>
      </w:r>
    </w:p>
    <w:p w:rsidR="004E0D3F" w:rsidRDefault="004E0D3F" w:rsidP="004E0D3F">
      <w:pPr>
        <w:pStyle w:val="ae"/>
        <w:spacing w:after="120" w:line="360" w:lineRule="auto"/>
        <w:ind w:left="567"/>
        <w:contextualSpacing w:val="0"/>
        <w:jc w:val="both"/>
        <w:rPr>
          <w:rFonts w:ascii="David" w:hAnsi="David"/>
          <w:rtl/>
        </w:rPr>
      </w:pPr>
      <w:r w:rsidRPr="004E0D3F">
        <w:rPr>
          <w:rtl/>
        </w:rPr>
        <w:t xml:space="preserve">בין הפרמטרים המסייעים לבית המשפט לבחון האם קיימת כוונת שיתוף ניתן למנות את משך הקשר ואורך תקופת החיים המשותפים; האם זהו הקשר הזוגי הראשון בין הצדדים; דפוסי העבודה של הצדדים וקיומה של </w:t>
      </w:r>
      <w:r w:rsidRPr="004E0D3F">
        <w:rPr>
          <w:rFonts w:ascii="David" w:hAnsi="David"/>
          <w:rtl/>
        </w:rPr>
        <w:t>תלות כלכלית; מידת השיתוף בהשגת מקורות הפרנסה וההכנסה (כגון ניהול עסק משותף, מיזם משותף וכו'), מקורות המימון של הנכסים שבמחלוקת, עיתוי רכישתם ומהותם ואינדיקציות נוספות, בהתאם לנסיבות (</w:t>
      </w:r>
      <w:hyperlink r:id="rId15" w:history="1">
        <w:r w:rsidRPr="004E0D3F">
          <w:rPr>
            <w:rFonts w:ascii="David" w:hAnsi="David"/>
            <w:rtl/>
          </w:rPr>
          <w:t xml:space="preserve">תמ"ש (תל אביב) </w:t>
        </w:r>
        <w:r w:rsidRPr="004E0D3F">
          <w:rPr>
            <w:rFonts w:ascii="David" w:hAnsi="David"/>
            <w:rtl/>
          </w:rPr>
          <w:lastRenderedPageBreak/>
          <w:t>50340-09-11</w:t>
        </w:r>
      </w:hyperlink>
      <w:r w:rsidRPr="004E0D3F">
        <w:rPr>
          <w:rFonts w:ascii="David" w:hAnsi="David"/>
          <w:rtl/>
        </w:rPr>
        <w:t> </w:t>
      </w:r>
      <w:r w:rsidRPr="004E0D3F">
        <w:rPr>
          <w:rFonts w:ascii="David" w:hAnsi="David"/>
          <w:b/>
          <w:bCs/>
          <w:rtl/>
        </w:rPr>
        <w:t xml:space="preserve">א' ל' נ' ד' פ' מ' </w:t>
      </w:r>
      <w:r w:rsidRPr="004E0D3F">
        <w:rPr>
          <w:rFonts w:ascii="David" w:hAnsi="David"/>
        </w:rPr>
        <w:t> (26.4.2015)</w:t>
      </w:r>
      <w:r w:rsidRPr="004E0D3F">
        <w:rPr>
          <w:rFonts w:ascii="David" w:hAnsi="David"/>
          <w:rtl/>
        </w:rPr>
        <w:t>;</w:t>
      </w:r>
      <w:r w:rsidRPr="004E0D3F">
        <w:rPr>
          <w:rFonts w:ascii="David" w:hAnsi="David"/>
        </w:rPr>
        <w:t> </w:t>
      </w:r>
      <w:hyperlink r:id="rId16" w:history="1">
        <w:r w:rsidRPr="004E0D3F">
          <w:rPr>
            <w:rFonts w:ascii="David" w:hAnsi="David"/>
            <w:rtl/>
          </w:rPr>
          <w:t>תמ"ש (ת"א) 3028-08-12</w:t>
        </w:r>
      </w:hyperlink>
      <w:r w:rsidRPr="004E0D3F">
        <w:rPr>
          <w:rFonts w:ascii="David" w:hAnsi="David"/>
        </w:rPr>
        <w:t> </w:t>
      </w:r>
      <w:r w:rsidRPr="004E0D3F">
        <w:rPr>
          <w:rFonts w:ascii="David" w:hAnsi="David"/>
          <w:b/>
          <w:bCs/>
          <w:rtl/>
        </w:rPr>
        <w:t>ל.ב נ' א.ג</w:t>
      </w:r>
      <w:r w:rsidRPr="004E0D3F">
        <w:rPr>
          <w:rFonts w:ascii="David" w:hAnsi="David"/>
          <w:rtl/>
        </w:rPr>
        <w:t xml:space="preserve"> </w:t>
      </w:r>
      <w:r w:rsidRPr="004E0D3F">
        <w:rPr>
          <w:rFonts w:ascii="David" w:hAnsi="David"/>
        </w:rPr>
        <w:t>(30.6.2015).</w:t>
      </w:r>
      <w:r w:rsidRPr="004E0D3F">
        <w:rPr>
          <w:rFonts w:ascii="David" w:hAnsi="David"/>
          <w:rtl/>
        </w:rPr>
        <w:t xml:space="preserve"> וכן תלהמ (חד') 38066-01-20‏ ‏ </w:t>
      </w:r>
      <w:r w:rsidRPr="004E0D3F">
        <w:rPr>
          <w:rFonts w:ascii="David" w:hAnsi="David"/>
          <w:b/>
          <w:bCs/>
          <w:rtl/>
        </w:rPr>
        <w:t>ש' נ' ק'‏</w:t>
      </w:r>
      <w:r w:rsidRPr="004E0D3F">
        <w:rPr>
          <w:rFonts w:ascii="David" w:hAnsi="David"/>
          <w:rtl/>
        </w:rPr>
        <w:t xml:space="preserve"> (2.5.2022)</w:t>
      </w:r>
      <w:r w:rsidR="004F47E5">
        <w:rPr>
          <w:rFonts w:ascii="David" w:hAnsi="David" w:hint="cs"/>
          <w:rtl/>
        </w:rPr>
        <w:t>)</w:t>
      </w:r>
      <w:r>
        <w:rPr>
          <w:rFonts w:ascii="David" w:hAnsi="David" w:hint="cs"/>
          <w:rtl/>
        </w:rPr>
        <w:t>.</w:t>
      </w:r>
    </w:p>
    <w:p w:rsidR="004F47E5" w:rsidRPr="004F47E5" w:rsidRDefault="004E0D3F" w:rsidP="00182D84">
      <w:pPr>
        <w:pStyle w:val="ae"/>
        <w:numPr>
          <w:ilvl w:val="0"/>
          <w:numId w:val="2"/>
        </w:numPr>
        <w:spacing w:after="120" w:line="360" w:lineRule="auto"/>
        <w:ind w:left="567" w:hanging="567"/>
        <w:contextualSpacing w:val="0"/>
        <w:jc w:val="both"/>
        <w:rPr>
          <w:rFonts w:ascii="David" w:hAnsi="David"/>
          <w:b/>
          <w:bCs/>
        </w:rPr>
      </w:pPr>
      <w:r>
        <w:rPr>
          <w:rFonts w:ascii="David" w:hAnsi="David" w:hint="cs"/>
          <w:rtl/>
        </w:rPr>
        <w:t>במקרה שלפניי הצדדים היו נשואים שנים רבות, ילדו שלושה ילדים, חיו יחד כל השנים והתנהלו מקופה משותפת. בנוסף, האיש עבד משך כל השנים והאישה לא עבדה</w:t>
      </w:r>
      <w:r w:rsidR="00245B00">
        <w:rPr>
          <w:rFonts w:ascii="David" w:hAnsi="David" w:hint="cs"/>
          <w:rtl/>
        </w:rPr>
        <w:t xml:space="preserve"> משך מרבית שנות הנשואין</w:t>
      </w:r>
      <w:r>
        <w:rPr>
          <w:rFonts w:ascii="David" w:hAnsi="David" w:hint="cs"/>
          <w:rtl/>
        </w:rPr>
        <w:t xml:space="preserve"> (הצדדים חלוקים ביחס לסיבות לכך שלא עבדה אך לא ביחס לחלוקת התפקידים בין הצדדים</w:t>
      </w:r>
      <w:r w:rsidR="00245985">
        <w:rPr>
          <w:rFonts w:ascii="David" w:hAnsi="David" w:hint="cs"/>
          <w:rtl/>
        </w:rPr>
        <w:t xml:space="preserve"> (למשל סעיפים 17-11 לתצהיר האיש)</w:t>
      </w:r>
      <w:r>
        <w:rPr>
          <w:rFonts w:ascii="David" w:hAnsi="David" w:hint="cs"/>
          <w:rtl/>
        </w:rPr>
        <w:t xml:space="preserve">). </w:t>
      </w:r>
    </w:p>
    <w:p w:rsidR="004F47E5" w:rsidRDefault="004E0D3F" w:rsidP="004F47E5">
      <w:pPr>
        <w:pStyle w:val="ae"/>
        <w:spacing w:after="120" w:line="360" w:lineRule="auto"/>
        <w:ind w:left="567"/>
        <w:contextualSpacing w:val="0"/>
        <w:jc w:val="both"/>
        <w:rPr>
          <w:rFonts w:ascii="David" w:hAnsi="David"/>
          <w:rtl/>
        </w:rPr>
      </w:pPr>
      <w:r>
        <w:rPr>
          <w:rFonts w:ascii="David" w:hAnsi="David" w:hint="cs"/>
          <w:rtl/>
        </w:rPr>
        <w:t>האישה אמנם החזיקה חשבון בנק על שמה אולם</w:t>
      </w:r>
      <w:r w:rsidR="00960359">
        <w:rPr>
          <w:rFonts w:ascii="David" w:hAnsi="David" w:hint="cs"/>
          <w:rtl/>
        </w:rPr>
        <w:t xml:space="preserve"> לטענת האיש הוא היה מיופה כח בחשבון זה ופעל בגדרו בהסכמת האישה (סעיף 45 וכן סעיפים 47-46 לתצהיר האיש</w:t>
      </w:r>
      <w:r w:rsidR="00182D84">
        <w:rPr>
          <w:rFonts w:ascii="David" w:hAnsi="David" w:hint="cs"/>
          <w:rtl/>
        </w:rPr>
        <w:t xml:space="preserve">; עדותו בעמ' 36, ש' 24 בדבר השותפות בחשבון זה </w:t>
      </w:r>
      <w:r w:rsidR="00FF0D04">
        <w:rPr>
          <w:rFonts w:ascii="David" w:hAnsi="David" w:hint="cs"/>
          <w:rtl/>
        </w:rPr>
        <w:t xml:space="preserve"> וכן </w:t>
      </w:r>
      <w:r>
        <w:rPr>
          <w:rFonts w:ascii="David" w:hAnsi="David" w:hint="cs"/>
          <w:rtl/>
        </w:rPr>
        <w:t>ראו דיון בסוגיית חשבון הבנק)</w:t>
      </w:r>
      <w:r w:rsidR="00960359">
        <w:rPr>
          <w:rFonts w:ascii="David" w:hAnsi="David" w:hint="cs"/>
          <w:rtl/>
        </w:rPr>
        <w:t xml:space="preserve"> ועל פי עדות האיש האישה התנהלה משך כל השנים באמצעות כרטיס אשראי המנוהל בחשבון הבנק של האיש ועשתה בכספים אלה שימוש להוצאותיה האישיות ולהוצאות המשפחה (סעיף 24 לתצהיר האיש)</w:t>
      </w:r>
      <w:r>
        <w:rPr>
          <w:rFonts w:ascii="David" w:hAnsi="David" w:hint="cs"/>
          <w:rtl/>
        </w:rPr>
        <w:t xml:space="preserve">. </w:t>
      </w:r>
    </w:p>
    <w:p w:rsidR="00FF0D04" w:rsidRPr="00FF0D04" w:rsidRDefault="00FF0D04" w:rsidP="004F47E5">
      <w:pPr>
        <w:pStyle w:val="ae"/>
        <w:spacing w:after="120" w:line="360" w:lineRule="auto"/>
        <w:ind w:left="567"/>
        <w:contextualSpacing w:val="0"/>
        <w:jc w:val="both"/>
        <w:rPr>
          <w:rFonts w:ascii="David" w:hAnsi="David"/>
          <w:b/>
          <w:bCs/>
        </w:rPr>
      </w:pPr>
      <w:r>
        <w:rPr>
          <w:rFonts w:ascii="David" w:hAnsi="David" w:hint="cs"/>
          <w:rtl/>
        </w:rPr>
        <w:t>גם האב העיד שהאיש התנהל בחשבון האישה כבשלו (עמ' 30, ש' 6 ועמ' 31, ש' 26-23).</w:t>
      </w:r>
    </w:p>
    <w:p w:rsidR="00245985" w:rsidRPr="00245985" w:rsidRDefault="004E0D3F" w:rsidP="00FF0D04">
      <w:pPr>
        <w:pStyle w:val="ae"/>
        <w:spacing w:after="120" w:line="360" w:lineRule="auto"/>
        <w:ind w:left="567"/>
        <w:contextualSpacing w:val="0"/>
        <w:jc w:val="both"/>
        <w:rPr>
          <w:rFonts w:ascii="David" w:hAnsi="David"/>
          <w:b/>
          <w:bCs/>
        </w:rPr>
      </w:pPr>
      <w:r>
        <w:rPr>
          <w:rFonts w:ascii="David" w:hAnsi="David" w:hint="cs"/>
          <w:rtl/>
        </w:rPr>
        <w:t>ההתנהלות הנלמדת מהטענות ומהעדויות מלמדת על כוו</w:t>
      </w:r>
      <w:r w:rsidR="00562D5A">
        <w:rPr>
          <w:rFonts w:ascii="David" w:hAnsi="David" w:hint="cs"/>
          <w:rtl/>
        </w:rPr>
        <w:t xml:space="preserve">נת שיתוף בנכסים שנצברו במהלך חיי הנשואין (כספים וזכויות סוציאליות) ועל הסתמכות בענין זה. </w:t>
      </w:r>
    </w:p>
    <w:p w:rsidR="004332E7" w:rsidRPr="007577FF" w:rsidRDefault="00562D5A" w:rsidP="007577FF">
      <w:pPr>
        <w:pStyle w:val="ae"/>
        <w:numPr>
          <w:ilvl w:val="0"/>
          <w:numId w:val="2"/>
        </w:numPr>
        <w:spacing w:after="120" w:line="360" w:lineRule="auto"/>
        <w:ind w:left="567" w:hanging="567"/>
        <w:contextualSpacing w:val="0"/>
        <w:jc w:val="both"/>
        <w:rPr>
          <w:rFonts w:ascii="David" w:hAnsi="David"/>
          <w:b/>
          <w:bCs/>
        </w:rPr>
      </w:pPr>
      <w:r>
        <w:rPr>
          <w:rFonts w:ascii="David" w:hAnsi="David" w:hint="cs"/>
          <w:rtl/>
        </w:rPr>
        <w:t>על כן, גם אם הייתי סבורה שהאיש הוכיח את טענותיו בענין אי תחולת הסדר איזון המשאבים הקבוע בחוק</w:t>
      </w:r>
      <w:r w:rsidR="004F47E5">
        <w:rPr>
          <w:rFonts w:ascii="David" w:hAnsi="David" w:hint="cs"/>
          <w:rtl/>
        </w:rPr>
        <w:t xml:space="preserve"> יחסי ממון</w:t>
      </w:r>
      <w:r>
        <w:rPr>
          <w:rFonts w:ascii="David" w:hAnsi="David" w:hint="cs"/>
          <w:rtl/>
        </w:rPr>
        <w:t>, בפועל - מתקיימות נסיבות המצדיקות החלת מנגנון שיתופי ביחס לנכסים שנצברו והתוצאה במהות, היא אותה תוצאה של חלוקת הכספים והזכויות שנצברו במהלך תקופת הנשואין (אציין, כי תקופת השיתוף נצברת ממועד טקס החתונה ולא ממועד החתימה על הסכם הנשואין (</w:t>
      </w:r>
      <w:r w:rsidR="004332E7" w:rsidRPr="004332E7">
        <w:rPr>
          <w:rFonts w:ascii="David" w:hAnsi="David"/>
          <w:rtl/>
        </w:rPr>
        <w:t>תמש (חי') 3340/03  </w:t>
      </w:r>
      <w:r w:rsidR="004332E7" w:rsidRPr="007577FF">
        <w:rPr>
          <w:rFonts w:ascii="David" w:hAnsi="David"/>
          <w:b/>
          <w:bCs/>
          <w:rtl/>
        </w:rPr>
        <w:t>פלונית נ' אלמוני</w:t>
      </w:r>
      <w:r w:rsidR="004332E7" w:rsidRPr="007577FF">
        <w:rPr>
          <w:rFonts w:ascii="David" w:hAnsi="David" w:hint="cs"/>
          <w:b/>
          <w:bCs/>
          <w:rtl/>
        </w:rPr>
        <w:t xml:space="preserve"> </w:t>
      </w:r>
      <w:r w:rsidR="004332E7">
        <w:rPr>
          <w:rFonts w:ascii="David" w:hAnsi="David" w:hint="cs"/>
          <w:rtl/>
        </w:rPr>
        <w:t xml:space="preserve">(3.12.2006), </w:t>
      </w:r>
      <w:r w:rsidR="004332E7" w:rsidRPr="007577FF">
        <w:rPr>
          <w:rFonts w:ascii="David" w:hAnsi="David"/>
          <w:rtl/>
        </w:rPr>
        <w:t>רמ"ש (חיפה) 22948-11-09 </w:t>
      </w:r>
      <w:r w:rsidR="004332E7" w:rsidRPr="007577FF">
        <w:rPr>
          <w:rFonts w:ascii="David" w:hAnsi="David"/>
          <w:b/>
          <w:bCs/>
          <w:rtl/>
        </w:rPr>
        <w:t>א.ב נ</w:t>
      </w:r>
      <w:r w:rsidR="007577FF">
        <w:rPr>
          <w:rFonts w:ascii="David" w:hAnsi="David" w:hint="cs"/>
          <w:b/>
          <w:bCs/>
          <w:rtl/>
        </w:rPr>
        <w:t xml:space="preserve">' </w:t>
      </w:r>
      <w:r w:rsidR="004332E7" w:rsidRPr="007577FF">
        <w:rPr>
          <w:rFonts w:ascii="David" w:hAnsi="David"/>
          <w:b/>
          <w:bCs/>
          <w:rtl/>
        </w:rPr>
        <w:t>מ.ב</w:t>
      </w:r>
      <w:r w:rsidR="007577FF">
        <w:rPr>
          <w:rFonts w:ascii="David" w:hAnsi="David" w:hint="cs"/>
          <w:b/>
          <w:bCs/>
          <w:rtl/>
        </w:rPr>
        <w:t xml:space="preserve"> </w:t>
      </w:r>
      <w:r w:rsidR="007577FF">
        <w:rPr>
          <w:rFonts w:ascii="David" w:hAnsi="David" w:hint="cs"/>
          <w:rtl/>
        </w:rPr>
        <w:t>(1.12.2010)).</w:t>
      </w:r>
    </w:p>
    <w:p w:rsidR="007577FF" w:rsidRDefault="007577FF" w:rsidP="007577FF">
      <w:pPr>
        <w:pStyle w:val="ae"/>
        <w:numPr>
          <w:ilvl w:val="0"/>
          <w:numId w:val="2"/>
        </w:numPr>
        <w:spacing w:after="120" w:line="360" w:lineRule="auto"/>
        <w:ind w:left="567" w:hanging="567"/>
        <w:contextualSpacing w:val="0"/>
        <w:jc w:val="both"/>
        <w:rPr>
          <w:rFonts w:ascii="David" w:hAnsi="David"/>
        </w:rPr>
      </w:pPr>
      <w:r w:rsidRPr="004F47E5">
        <w:rPr>
          <w:rFonts w:ascii="David" w:hAnsi="David" w:hint="cs"/>
          <w:b/>
          <w:bCs/>
          <w:u w:val="single"/>
          <w:rtl/>
        </w:rPr>
        <w:t>לסיכום נקודה זו</w:t>
      </w:r>
      <w:r>
        <w:rPr>
          <w:rFonts w:ascii="David" w:hAnsi="David" w:hint="cs"/>
          <w:rtl/>
        </w:rPr>
        <w:t xml:space="preserve"> - </w:t>
      </w:r>
    </w:p>
    <w:p w:rsidR="004332E7" w:rsidRDefault="007577FF" w:rsidP="007577FF">
      <w:pPr>
        <w:pStyle w:val="ae"/>
        <w:spacing w:after="120" w:line="360" w:lineRule="auto"/>
        <w:ind w:left="567"/>
        <w:contextualSpacing w:val="0"/>
        <w:jc w:val="both"/>
        <w:rPr>
          <w:rFonts w:ascii="David" w:hAnsi="David"/>
          <w:rtl/>
        </w:rPr>
      </w:pPr>
      <w:r>
        <w:rPr>
          <w:rFonts w:ascii="David" w:hAnsi="David" w:hint="cs"/>
          <w:rtl/>
        </w:rPr>
        <w:t xml:space="preserve">איני מקבלת את טענת האיש בדבר העדר תחולת הסדר איזון משאבים מאחר ולא מצאתי שהוא עמד בנטל המוטל עליו להוכחת התנאים הנדרשים ואף אם היה כך, מאחר ושוכנעתי כי כוונת הצדדים היתה להחיל משטר שיתופי, ממילא יש מקום להורות על חלוקת הנכסים שנצברו משך תקופת החיים המשותפת בהתאם לכוונתם המשתמעת ובהעדר טענה או אינדקציה לכוונה של הפרדה. </w:t>
      </w:r>
    </w:p>
    <w:p w:rsidR="009A73EA" w:rsidRPr="009A73EA" w:rsidRDefault="009A73EA" w:rsidP="009A73EA">
      <w:pPr>
        <w:spacing w:after="120" w:line="360" w:lineRule="auto"/>
        <w:ind w:left="567" w:hanging="567"/>
        <w:jc w:val="both"/>
        <w:rPr>
          <w:b/>
          <w:bCs/>
          <w:u w:val="single"/>
        </w:rPr>
      </w:pPr>
      <w:r w:rsidRPr="009A73EA">
        <w:rPr>
          <w:rFonts w:hint="cs"/>
          <w:b/>
          <w:bCs/>
          <w:rtl/>
        </w:rPr>
        <w:t>א.</w:t>
      </w:r>
      <w:r>
        <w:rPr>
          <w:rFonts w:hint="cs"/>
          <w:b/>
          <w:bCs/>
          <w:rtl/>
        </w:rPr>
        <w:t>2</w:t>
      </w:r>
      <w:r w:rsidRPr="009A73EA">
        <w:rPr>
          <w:rFonts w:hint="cs"/>
          <w:b/>
          <w:bCs/>
          <w:rtl/>
        </w:rPr>
        <w:t xml:space="preserve">.2.5 </w:t>
      </w:r>
      <w:r>
        <w:rPr>
          <w:rFonts w:hint="cs"/>
          <w:b/>
          <w:bCs/>
          <w:u w:val="single"/>
          <w:rtl/>
        </w:rPr>
        <w:t>קביעותיו של האקטואר</w:t>
      </w:r>
      <w:r w:rsidR="0002039C">
        <w:rPr>
          <w:rFonts w:hint="cs"/>
          <w:b/>
          <w:bCs/>
          <w:u w:val="single"/>
          <w:rtl/>
        </w:rPr>
        <w:t xml:space="preserve"> בענין הזכויות הממוניות של הצדדים</w:t>
      </w:r>
      <w:r>
        <w:rPr>
          <w:rFonts w:hint="cs"/>
          <w:b/>
          <w:bCs/>
          <w:u w:val="single"/>
          <w:rtl/>
        </w:rPr>
        <w:t xml:space="preserve"> </w:t>
      </w:r>
    </w:p>
    <w:p w:rsidR="00A363C9" w:rsidRDefault="00A363C9" w:rsidP="00A363C9">
      <w:pPr>
        <w:pStyle w:val="ae"/>
        <w:numPr>
          <w:ilvl w:val="0"/>
          <w:numId w:val="2"/>
        </w:numPr>
        <w:spacing w:after="120" w:line="360" w:lineRule="auto"/>
        <w:ind w:left="567" w:hanging="567"/>
        <w:contextualSpacing w:val="0"/>
        <w:jc w:val="both"/>
        <w:rPr>
          <w:rFonts w:ascii="Arial" w:hAnsi="Arial"/>
        </w:rPr>
      </w:pPr>
      <w:r>
        <w:rPr>
          <w:rFonts w:ascii="Arial" w:hAnsi="Arial" w:hint="cs"/>
          <w:rtl/>
        </w:rPr>
        <w:t xml:space="preserve">ביום 8.6.2022 הוגשה חוות דעתו של המומחה בענין זכויותיהם הממוניות של הצדדים. </w:t>
      </w:r>
    </w:p>
    <w:p w:rsidR="00A363C9" w:rsidRDefault="00A363C9" w:rsidP="00A363C9">
      <w:pPr>
        <w:pStyle w:val="ae"/>
        <w:numPr>
          <w:ilvl w:val="0"/>
          <w:numId w:val="2"/>
        </w:numPr>
        <w:spacing w:after="120" w:line="360" w:lineRule="auto"/>
        <w:ind w:left="567" w:hanging="567"/>
        <w:contextualSpacing w:val="0"/>
        <w:jc w:val="both"/>
        <w:rPr>
          <w:rFonts w:ascii="Arial" w:hAnsi="Arial"/>
        </w:rPr>
      </w:pPr>
      <w:r>
        <w:rPr>
          <w:rFonts w:ascii="Arial" w:hAnsi="Arial"/>
          <w:rtl/>
        </w:rPr>
        <w:lastRenderedPageBreak/>
        <w:t xml:space="preserve">מינוי מומחה נועד לסייע לבית המשפט להכריע בסוגיות המחייבות ידע מקצועי שבמומחיות. </w:t>
      </w:r>
      <w:r>
        <w:rPr>
          <w:rFonts w:ascii="Arial" w:hAnsi="Arial"/>
          <w:noProof w:val="0"/>
          <w:rtl/>
        </w:rPr>
        <w:t xml:space="preserve">כאשר ממנה בית המשפט מומחה על מנת לספק נתונים מקצועיים לצורך הכרעה סביר שבית המשפט יאמץ את ממצאי המומחה אלא אם קיימות סיבות בולטות שלא לעשות כן </w:t>
      </w:r>
      <w:bookmarkStart w:id="1" w:name="Text1"/>
      <w:r>
        <w:rPr>
          <w:rFonts w:ascii="Arial" w:hAnsi="Arial"/>
          <w:rtl/>
        </w:rPr>
        <w:t>(ע"א 5509/09</w:t>
      </w:r>
      <w:r>
        <w:rPr>
          <w:rFonts w:ascii="Arial" w:hAnsi="Arial"/>
          <w:b/>
          <w:bCs/>
          <w:rtl/>
        </w:rPr>
        <w:t xml:space="preserve"> מסארווה נ' עזבון המנוח מסארווה</w:t>
      </w:r>
      <w:bookmarkEnd w:id="1"/>
      <w:r>
        <w:rPr>
          <w:rFonts w:ascii="Arial" w:hAnsi="Arial"/>
          <w:rtl/>
        </w:rPr>
        <w:t xml:space="preserve"> (23.2.2014); תמש (ת"א) 21646-06-11‏ ‏ </w:t>
      </w:r>
      <w:r>
        <w:rPr>
          <w:rFonts w:ascii="Arial" w:hAnsi="Arial"/>
          <w:b/>
          <w:bCs/>
          <w:rtl/>
        </w:rPr>
        <w:t>א.נ נ' ע.נ</w:t>
      </w:r>
      <w:r>
        <w:rPr>
          <w:rFonts w:ascii="Arial" w:hAnsi="Arial"/>
          <w:rtl/>
        </w:rPr>
        <w:t xml:space="preserve"> (4.9.2017)).</w:t>
      </w:r>
    </w:p>
    <w:p w:rsidR="00A363C9" w:rsidRDefault="00A363C9" w:rsidP="004F47E5">
      <w:pPr>
        <w:spacing w:after="120" w:line="360" w:lineRule="auto"/>
        <w:ind w:left="567"/>
        <w:jc w:val="both"/>
        <w:rPr>
          <w:rFonts w:ascii="Arial" w:hAnsi="Arial"/>
          <w:rtl/>
        </w:rPr>
      </w:pPr>
      <w:bookmarkStart w:id="2" w:name="LastJudge"/>
      <w:r>
        <w:rPr>
          <w:rFonts w:ascii="Arial" w:hAnsi="Arial"/>
          <w:rtl/>
        </w:rPr>
        <w:t xml:space="preserve">עילות ההתערבות בחוות דעת מקצועית שנערכה על ידי מומחה מצומצמות למקרים חריגים ויוצאי דופן בהם פעל המומחה בחריגה מסמכות או בניגוד לכללי הצדק הטבעי, שלא בהגינות או במרמה. פרט למקרים כאלה, אין מקום להשיג על שיקול הדעת המקצועית של המומחה (תמ"ש (ראשל"צ) 29971-10-11‏‏ </w:t>
      </w:r>
      <w:r>
        <w:rPr>
          <w:rFonts w:ascii="Arial" w:hAnsi="Arial"/>
          <w:b/>
          <w:bCs/>
          <w:rtl/>
        </w:rPr>
        <w:t>מ.ש נ' ד.ד</w:t>
      </w:r>
      <w:bookmarkEnd w:id="2"/>
      <w:r>
        <w:rPr>
          <w:rFonts w:ascii="Arial" w:hAnsi="Arial"/>
          <w:rtl/>
        </w:rPr>
        <w:t xml:space="preserve"> (28.2.2017); תמש (נצ') 32491-05-10‏ ‏ </w:t>
      </w:r>
      <w:r>
        <w:rPr>
          <w:rFonts w:ascii="Arial" w:hAnsi="Arial"/>
          <w:b/>
          <w:bCs/>
          <w:rtl/>
        </w:rPr>
        <w:t>ר.ב נ' א.ב</w:t>
      </w:r>
      <w:r>
        <w:rPr>
          <w:rFonts w:ascii="Arial" w:hAnsi="Arial"/>
          <w:rtl/>
        </w:rPr>
        <w:t xml:space="preserve"> (5.8.2014)).</w:t>
      </w:r>
    </w:p>
    <w:p w:rsidR="00A363C9" w:rsidRDefault="00A363C9" w:rsidP="004F47E5">
      <w:pPr>
        <w:spacing w:after="120" w:line="360" w:lineRule="auto"/>
        <w:ind w:left="567" w:hanging="720"/>
        <w:jc w:val="both"/>
        <w:rPr>
          <w:rFonts w:ascii="Arial" w:hAnsi="Arial"/>
          <w:rtl/>
        </w:rPr>
      </w:pPr>
      <w:r>
        <w:rPr>
          <w:rFonts w:ascii="Arial" w:hAnsi="Arial"/>
          <w:rtl/>
        </w:rPr>
        <w:t>50.</w:t>
      </w:r>
      <w:r>
        <w:rPr>
          <w:rFonts w:ascii="Arial" w:hAnsi="Arial"/>
          <w:rtl/>
        </w:rPr>
        <w:tab/>
        <w:t xml:space="preserve">הצדדים </w:t>
      </w:r>
      <w:r>
        <w:rPr>
          <w:rFonts w:ascii="Arial" w:hAnsi="Arial" w:hint="cs"/>
          <w:rtl/>
        </w:rPr>
        <w:t xml:space="preserve">לא טענו </w:t>
      </w:r>
      <w:r>
        <w:rPr>
          <w:rFonts w:ascii="Arial" w:hAnsi="Arial"/>
          <w:rtl/>
        </w:rPr>
        <w:t>טענה המכרסמת במעמדה של חוות הדעת; לא הוצגו ראיות הסותרות את ממצאי חוות הדעת; המומחה</w:t>
      </w:r>
      <w:r>
        <w:rPr>
          <w:rFonts w:ascii="Arial" w:hAnsi="Arial" w:hint="cs"/>
          <w:rtl/>
        </w:rPr>
        <w:t xml:space="preserve"> לא נחקר ועל כן, </w:t>
      </w:r>
      <w:r>
        <w:rPr>
          <w:rFonts w:ascii="Arial" w:hAnsi="Arial"/>
          <w:rtl/>
        </w:rPr>
        <w:t>לאחר שבחנתי את חוות הדעת בקפידה, שוכנעתי כי המסמכים הרלבנטיים נבדקו והבדיקות הנדרשות נעשו - אני מאמצת את ממצאי חוות הדעת.</w:t>
      </w:r>
    </w:p>
    <w:p w:rsidR="004F47E5" w:rsidRPr="004F47E5" w:rsidRDefault="004F47E5" w:rsidP="004F47E5">
      <w:pPr>
        <w:pStyle w:val="ae"/>
        <w:numPr>
          <w:ilvl w:val="0"/>
          <w:numId w:val="2"/>
        </w:numPr>
        <w:spacing w:after="120" w:line="360" w:lineRule="auto"/>
        <w:ind w:left="567" w:hanging="567"/>
        <w:contextualSpacing w:val="0"/>
        <w:jc w:val="both"/>
        <w:rPr>
          <w:rFonts w:ascii="Arial" w:hAnsi="Arial"/>
          <w:b/>
          <w:bCs/>
          <w:u w:val="single"/>
        </w:rPr>
      </w:pPr>
      <w:r w:rsidRPr="004F47E5">
        <w:rPr>
          <w:rFonts w:ascii="Arial" w:hAnsi="Arial" w:hint="cs"/>
          <w:b/>
          <w:bCs/>
          <w:u w:val="single"/>
          <w:rtl/>
        </w:rPr>
        <w:t>טענת האיש לביצוע האיזון באמצעות חלוקה שאינה שווה בין בני הזוג:</w:t>
      </w:r>
    </w:p>
    <w:p w:rsidR="00A363C9" w:rsidRDefault="008570C0" w:rsidP="00F67600">
      <w:pPr>
        <w:pStyle w:val="ae"/>
        <w:spacing w:after="120" w:line="360" w:lineRule="auto"/>
        <w:ind w:left="567"/>
        <w:contextualSpacing w:val="0"/>
        <w:jc w:val="both"/>
        <w:rPr>
          <w:rFonts w:ascii="Arial" w:hAnsi="Arial"/>
        </w:rPr>
      </w:pPr>
      <w:r>
        <w:rPr>
          <w:rFonts w:ascii="Arial" w:hAnsi="Arial" w:hint="cs"/>
          <w:rtl/>
        </w:rPr>
        <w:t xml:space="preserve">בכתב ההגנה ובסיכומים טען האיש לחלוקה שאינה שווה מאחר והאישה לא תרמה תרומה כלשהי לצבירת הנכסים והזכויות משך כל שנות הנשואין וכי היא התבטלה באופן שלא מימש את פוטנציאל ההשתכרות שלה. הטענה לא הוכחה. העובדה שהאישה לא השתכרה משך שנות הנשואין ובחרה ללמוד נושאים שאינם מאפשרים פרנסה משמעותית אינה מלמדת בהכרח על התנהלות מכוונת שנמנעת מצבירת זכויות באופן שמשפיע על שיעור החלוקה. </w:t>
      </w:r>
    </w:p>
    <w:p w:rsidR="008570C0" w:rsidRDefault="004F47E5" w:rsidP="00F67600">
      <w:pPr>
        <w:pStyle w:val="ae"/>
        <w:spacing w:after="120" w:line="360" w:lineRule="auto"/>
        <w:ind w:left="567"/>
        <w:contextualSpacing w:val="0"/>
        <w:jc w:val="both"/>
        <w:rPr>
          <w:rFonts w:ascii="Arial" w:hAnsi="Arial"/>
          <w:rtl/>
        </w:rPr>
      </w:pPr>
      <w:r>
        <w:rPr>
          <w:rFonts w:ascii="Arial" w:hAnsi="Arial" w:hint="cs"/>
          <w:rtl/>
        </w:rPr>
        <w:t xml:space="preserve">ממילא, </w:t>
      </w:r>
      <w:r w:rsidR="008570C0">
        <w:rPr>
          <w:rFonts w:ascii="Arial" w:hAnsi="Arial" w:hint="cs"/>
          <w:rtl/>
        </w:rPr>
        <w:t>הרציונל של משטר השיתוף או האיזון הוא שלא נבדק מקורו של כל נכס</w:t>
      </w:r>
      <w:r w:rsidR="00F67600">
        <w:rPr>
          <w:rFonts w:ascii="Arial" w:hAnsi="Arial" w:hint="cs"/>
          <w:rtl/>
        </w:rPr>
        <w:t xml:space="preserve">, </w:t>
      </w:r>
      <w:r w:rsidR="008570C0">
        <w:rPr>
          <w:rFonts w:ascii="Arial" w:hAnsi="Arial" w:hint="cs"/>
          <w:rtl/>
        </w:rPr>
        <w:t>שיעור ההשתתפות והתרו</w:t>
      </w:r>
      <w:r>
        <w:rPr>
          <w:rFonts w:ascii="Arial" w:hAnsi="Arial" w:hint="cs"/>
          <w:rtl/>
        </w:rPr>
        <w:t>מה של כל אחד מבני הזוג בצבירתו.</w:t>
      </w:r>
    </w:p>
    <w:p w:rsidR="008570C0" w:rsidRDefault="008570C0" w:rsidP="004F47E5">
      <w:pPr>
        <w:pStyle w:val="ae"/>
        <w:spacing w:after="120" w:line="360" w:lineRule="auto"/>
        <w:ind w:left="567"/>
        <w:contextualSpacing w:val="0"/>
        <w:jc w:val="both"/>
        <w:rPr>
          <w:rFonts w:ascii="Arial" w:hAnsi="Arial"/>
          <w:rtl/>
        </w:rPr>
      </w:pPr>
      <w:r>
        <w:rPr>
          <w:rFonts w:ascii="Arial" w:hAnsi="Arial" w:hint="cs"/>
          <w:rtl/>
        </w:rPr>
        <w:t xml:space="preserve">לא שוכנעתי באופן בו נטענה הנטענה, לא הוצגו ראיות להתנהלות חריגה המצדיקה </w:t>
      </w:r>
      <w:r w:rsidR="004F47E5">
        <w:rPr>
          <w:rFonts w:ascii="Arial" w:hAnsi="Arial" w:hint="cs"/>
          <w:rtl/>
        </w:rPr>
        <w:t>סטייה</w:t>
      </w:r>
      <w:r>
        <w:rPr>
          <w:rFonts w:ascii="Arial" w:hAnsi="Arial" w:hint="cs"/>
          <w:rtl/>
        </w:rPr>
        <w:t xml:space="preserve"> מאופן החלוקה השווה הקבוע </w:t>
      </w:r>
      <w:r w:rsidR="004F47E5">
        <w:rPr>
          <w:rFonts w:ascii="Arial" w:hAnsi="Arial" w:hint="cs"/>
          <w:rtl/>
        </w:rPr>
        <w:t>בחוק יחסי ממון</w:t>
      </w:r>
      <w:r w:rsidR="00B514FE">
        <w:rPr>
          <w:rFonts w:ascii="Arial" w:hAnsi="Arial" w:hint="cs"/>
          <w:rtl/>
        </w:rPr>
        <w:t xml:space="preserve"> וטענות האיש בהקשר זה נדחות. </w:t>
      </w:r>
    </w:p>
    <w:p w:rsidR="0002039C" w:rsidRDefault="0002039C" w:rsidP="004F47E5">
      <w:pPr>
        <w:pStyle w:val="ae"/>
        <w:numPr>
          <w:ilvl w:val="0"/>
          <w:numId w:val="2"/>
        </w:numPr>
        <w:spacing w:after="120" w:line="360" w:lineRule="auto"/>
        <w:ind w:left="567" w:hanging="567"/>
        <w:contextualSpacing w:val="0"/>
        <w:jc w:val="both"/>
        <w:rPr>
          <w:rFonts w:ascii="Arial" w:hAnsi="Arial"/>
        </w:rPr>
      </w:pPr>
      <w:r>
        <w:rPr>
          <w:rFonts w:ascii="Arial" w:hAnsi="Arial" w:hint="cs"/>
          <w:rtl/>
        </w:rPr>
        <w:t xml:space="preserve">על כן, לסיכום נקודה זו אני מורה על חלוקת הזכויות בהתאם לקביעות המומחה כאשר עומדת לאיש הזכות לבחור </w:t>
      </w:r>
      <w:r w:rsidR="000B616C">
        <w:rPr>
          <w:rFonts w:ascii="Arial" w:hAnsi="Arial" w:hint="cs"/>
          <w:rtl/>
        </w:rPr>
        <w:t xml:space="preserve">בין שתי החלופות המוצעות לאיזון. </w:t>
      </w:r>
    </w:p>
    <w:p w:rsidR="00F67600" w:rsidRDefault="00F67600" w:rsidP="00F67600">
      <w:pPr>
        <w:spacing w:after="120" w:line="360" w:lineRule="auto"/>
        <w:jc w:val="both"/>
        <w:rPr>
          <w:rFonts w:ascii="Arial" w:hAnsi="Arial"/>
          <w:rtl/>
        </w:rPr>
      </w:pPr>
    </w:p>
    <w:p w:rsidR="00F67600" w:rsidRPr="00F67600" w:rsidRDefault="00F67600" w:rsidP="00F67600">
      <w:pPr>
        <w:spacing w:after="120" w:line="360" w:lineRule="auto"/>
        <w:jc w:val="both"/>
        <w:rPr>
          <w:rFonts w:ascii="Arial" w:hAnsi="Arial"/>
          <w:rtl/>
        </w:rPr>
      </w:pPr>
    </w:p>
    <w:p w:rsidR="0002039C" w:rsidRDefault="0002039C" w:rsidP="00A64EB5">
      <w:pPr>
        <w:spacing w:after="120" w:line="360" w:lineRule="auto"/>
        <w:ind w:left="567" w:hanging="567"/>
        <w:jc w:val="both"/>
        <w:rPr>
          <w:b/>
          <w:bCs/>
          <w:u w:val="single"/>
          <w:rtl/>
        </w:rPr>
      </w:pPr>
      <w:r w:rsidRPr="009A73EA">
        <w:rPr>
          <w:rFonts w:hint="cs"/>
          <w:b/>
          <w:bCs/>
          <w:rtl/>
        </w:rPr>
        <w:lastRenderedPageBreak/>
        <w:t>א.</w:t>
      </w:r>
      <w:r>
        <w:rPr>
          <w:rFonts w:hint="cs"/>
          <w:b/>
          <w:bCs/>
          <w:rtl/>
        </w:rPr>
        <w:t>3</w:t>
      </w:r>
      <w:r w:rsidRPr="009A73EA">
        <w:rPr>
          <w:rFonts w:hint="cs"/>
          <w:b/>
          <w:bCs/>
          <w:rtl/>
        </w:rPr>
        <w:t xml:space="preserve">.2.5 </w:t>
      </w:r>
      <w:r>
        <w:rPr>
          <w:rFonts w:hint="cs"/>
          <w:b/>
          <w:bCs/>
          <w:u w:val="single"/>
          <w:rtl/>
        </w:rPr>
        <w:t>טענות האישה בענין הכספים שהופקדו בחשבון הבנק שלה</w:t>
      </w:r>
      <w:r w:rsidR="00A64EB5">
        <w:rPr>
          <w:rFonts w:hint="cs"/>
          <w:b/>
          <w:bCs/>
          <w:u w:val="single"/>
          <w:rtl/>
        </w:rPr>
        <w:t xml:space="preserve"> ונמשכו טרם הפרידה</w:t>
      </w:r>
      <w:r>
        <w:rPr>
          <w:rFonts w:hint="cs"/>
          <w:b/>
          <w:bCs/>
          <w:u w:val="single"/>
          <w:rtl/>
        </w:rPr>
        <w:t>.</w:t>
      </w:r>
    </w:p>
    <w:p w:rsidR="00EF77E4" w:rsidRPr="00EF77E4" w:rsidRDefault="00EF77E4" w:rsidP="00741F84">
      <w:pPr>
        <w:pStyle w:val="ae"/>
        <w:numPr>
          <w:ilvl w:val="0"/>
          <w:numId w:val="2"/>
        </w:numPr>
        <w:spacing w:after="120" w:line="360" w:lineRule="auto"/>
        <w:ind w:left="567" w:hanging="567"/>
        <w:contextualSpacing w:val="0"/>
        <w:jc w:val="both"/>
        <w:rPr>
          <w:b/>
          <w:bCs/>
          <w:u w:val="single"/>
        </w:rPr>
      </w:pPr>
      <w:r>
        <w:rPr>
          <w:rFonts w:hint="cs"/>
          <w:rtl/>
        </w:rPr>
        <w:t xml:space="preserve">לטענת האישה, משך שנות הנשואין, הפקיד האיש בחשבון הבנק הרשום על שמה בבנק </w:t>
      </w:r>
      <w:r w:rsidR="00741F84">
        <w:rPr>
          <w:rFonts w:hint="cs"/>
          <w:rtl/>
        </w:rPr>
        <w:t>-----</w:t>
      </w:r>
      <w:r>
        <w:rPr>
          <w:rFonts w:hint="cs"/>
          <w:rtl/>
        </w:rPr>
        <w:t xml:space="preserve">סך כולל של כ-350,000 </w:t>
      </w:r>
      <w:r w:rsidR="00C54B5E">
        <w:rPr>
          <w:rFonts w:hint="cs"/>
          <w:rtl/>
        </w:rPr>
        <w:t>ש</w:t>
      </w:r>
      <w:r w:rsidR="00C54B5E">
        <w:rPr>
          <w:rtl/>
        </w:rPr>
        <w:t>"</w:t>
      </w:r>
      <w:r w:rsidR="00C54B5E">
        <w:rPr>
          <w:rFonts w:hint="cs"/>
          <w:rtl/>
        </w:rPr>
        <w:t>ח</w:t>
      </w:r>
      <w:r>
        <w:rPr>
          <w:rFonts w:hint="cs"/>
          <w:rtl/>
        </w:rPr>
        <w:t xml:space="preserve"> ונאמר לה שאלו כספים שמקורם בהסעות של עובדים פלסטינים (סעיפים 12-10 לתצהיר).</w:t>
      </w:r>
    </w:p>
    <w:p w:rsidR="00EF77E4" w:rsidRPr="00EF77E4" w:rsidRDefault="00EF77E4" w:rsidP="000B616C">
      <w:pPr>
        <w:pStyle w:val="ae"/>
        <w:spacing w:after="120" w:line="360" w:lineRule="auto"/>
        <w:ind w:left="567"/>
        <w:contextualSpacing w:val="0"/>
        <w:jc w:val="both"/>
        <w:rPr>
          <w:b/>
          <w:bCs/>
          <w:u w:val="single"/>
        </w:rPr>
      </w:pPr>
      <w:r>
        <w:rPr>
          <w:rFonts w:hint="cs"/>
          <w:rtl/>
        </w:rPr>
        <w:t xml:space="preserve">לתצהיר צורפו מסמכי בנק המעידים על יתרה בסך 354,520 </w:t>
      </w:r>
      <w:r w:rsidR="00C54B5E">
        <w:rPr>
          <w:rFonts w:hint="cs"/>
          <w:rtl/>
        </w:rPr>
        <w:t>ש</w:t>
      </w:r>
      <w:r w:rsidR="00C54B5E">
        <w:rPr>
          <w:rtl/>
        </w:rPr>
        <w:t>"</w:t>
      </w:r>
      <w:r w:rsidR="00C54B5E">
        <w:rPr>
          <w:rFonts w:hint="cs"/>
          <w:rtl/>
        </w:rPr>
        <w:t>ח</w:t>
      </w:r>
      <w:r>
        <w:rPr>
          <w:rFonts w:hint="cs"/>
          <w:rtl/>
        </w:rPr>
        <w:t xml:space="preserve"> ביום 29.9.2019 וכן תדפיסי תנועות המלמדים על כך שלחשבון הבנק האמור הופקדו קצבאות הילדים מידי חודש וכן המחאות</w:t>
      </w:r>
      <w:r w:rsidR="00046ADE">
        <w:rPr>
          <w:rFonts w:hint="cs"/>
          <w:rtl/>
        </w:rPr>
        <w:t>.</w:t>
      </w:r>
      <w:r>
        <w:rPr>
          <w:rFonts w:hint="cs"/>
          <w:rtl/>
        </w:rPr>
        <w:t xml:space="preserve"> </w:t>
      </w:r>
    </w:p>
    <w:p w:rsidR="000B616C" w:rsidRPr="000B616C" w:rsidRDefault="00960359" w:rsidP="00741F84">
      <w:pPr>
        <w:pStyle w:val="ae"/>
        <w:numPr>
          <w:ilvl w:val="0"/>
          <w:numId w:val="2"/>
        </w:numPr>
        <w:spacing w:after="120" w:line="360" w:lineRule="auto"/>
        <w:ind w:left="567" w:hanging="567"/>
        <w:contextualSpacing w:val="0"/>
        <w:jc w:val="both"/>
        <w:rPr>
          <w:b/>
          <w:bCs/>
          <w:u w:val="single"/>
        </w:rPr>
      </w:pPr>
      <w:r>
        <w:rPr>
          <w:rFonts w:hint="cs"/>
          <w:rtl/>
        </w:rPr>
        <w:t xml:space="preserve">לטענת </w:t>
      </w:r>
      <w:r w:rsidRPr="000B616C">
        <w:rPr>
          <w:rFonts w:hint="cs"/>
          <w:b/>
          <w:bCs/>
          <w:rtl/>
        </w:rPr>
        <w:t>האיש</w:t>
      </w:r>
      <w:r>
        <w:rPr>
          <w:rFonts w:hint="cs"/>
          <w:rtl/>
        </w:rPr>
        <w:t xml:space="preserve">, החשבון שנוהל בבנק </w:t>
      </w:r>
      <w:r w:rsidR="00741F84">
        <w:rPr>
          <w:rFonts w:hint="cs"/>
          <w:rtl/>
        </w:rPr>
        <w:t>-----</w:t>
      </w:r>
      <w:r>
        <w:rPr>
          <w:rFonts w:hint="cs"/>
          <w:rtl/>
        </w:rPr>
        <w:t xml:space="preserve">על שם האישה היה חשבון שאינו פעיל מלבד הפקדת קצבת הילדים ולא היו לצדדים הכנסות בחשבון זה. </w:t>
      </w:r>
    </w:p>
    <w:p w:rsidR="000B616C" w:rsidRDefault="00960359" w:rsidP="000B616C">
      <w:pPr>
        <w:pStyle w:val="ae"/>
        <w:spacing w:after="120" w:line="360" w:lineRule="auto"/>
        <w:ind w:left="567"/>
        <w:contextualSpacing w:val="0"/>
        <w:jc w:val="both"/>
        <w:rPr>
          <w:rtl/>
        </w:rPr>
      </w:pPr>
      <w:r>
        <w:rPr>
          <w:rFonts w:hint="cs"/>
          <w:rtl/>
        </w:rPr>
        <w:t xml:space="preserve">לטענת האיש, על אף שהוא היה מיופה כח בחשבון זה האישה ידעה, אישרה והסכימה לכל הפעולות שבוצעו בחשבון זה והיתה לה שליטה מוחלוטת במידע הנוגע לחשבון. </w:t>
      </w:r>
    </w:p>
    <w:p w:rsidR="000B616C" w:rsidRDefault="00960359" w:rsidP="00741F84">
      <w:pPr>
        <w:pStyle w:val="ae"/>
        <w:spacing w:after="120" w:line="360" w:lineRule="auto"/>
        <w:ind w:left="567"/>
        <w:contextualSpacing w:val="0"/>
        <w:jc w:val="both"/>
        <w:rPr>
          <w:rtl/>
        </w:rPr>
      </w:pPr>
      <w:r>
        <w:rPr>
          <w:rFonts w:hint="cs"/>
          <w:rtl/>
        </w:rPr>
        <w:t xml:space="preserve">האיש </w:t>
      </w:r>
      <w:r w:rsidR="000B616C">
        <w:rPr>
          <w:rFonts w:hint="cs"/>
          <w:rtl/>
        </w:rPr>
        <w:t>הוסיף ו</w:t>
      </w:r>
      <w:r>
        <w:rPr>
          <w:rFonts w:hint="cs"/>
          <w:rtl/>
        </w:rPr>
        <w:t xml:space="preserve">טען, כי בחשבון זה הופקדו המחאות השייכות למעסיקו של האב כאשר ההפקדה בוצעה בנאמנות לצורך תשלום משכורות לעובדים פלסטינים שהועסקו על ידי המעסיק, </w:t>
      </w:r>
      <w:r w:rsidR="00741F84">
        <w:rPr>
          <w:rFonts w:hint="cs"/>
          <w:rtl/>
        </w:rPr>
        <w:t>------</w:t>
      </w:r>
      <w:r>
        <w:rPr>
          <w:rFonts w:hint="cs"/>
          <w:rtl/>
        </w:rPr>
        <w:t xml:space="preserve"> בע"מ </w:t>
      </w:r>
      <w:r w:rsidR="00F57C4A">
        <w:rPr>
          <w:rFonts w:hint="cs"/>
          <w:rtl/>
        </w:rPr>
        <w:t>(</w:t>
      </w:r>
      <w:r w:rsidR="00F57C4A">
        <w:rPr>
          <w:rFonts w:hint="cs"/>
          <w:b/>
          <w:bCs/>
          <w:rtl/>
        </w:rPr>
        <w:t>"המעסיק"</w:t>
      </w:r>
      <w:r w:rsidR="00F57C4A">
        <w:rPr>
          <w:rFonts w:hint="cs"/>
          <w:rtl/>
        </w:rPr>
        <w:t>)</w:t>
      </w:r>
      <w:r w:rsidR="00617BE3">
        <w:rPr>
          <w:rFonts w:hint="cs"/>
          <w:rtl/>
        </w:rPr>
        <w:t xml:space="preserve">. </w:t>
      </w:r>
    </w:p>
    <w:p w:rsidR="0002039C" w:rsidRPr="00617BE3" w:rsidRDefault="00617BE3" w:rsidP="000B616C">
      <w:pPr>
        <w:pStyle w:val="ae"/>
        <w:spacing w:after="120" w:line="360" w:lineRule="auto"/>
        <w:ind w:left="567"/>
        <w:contextualSpacing w:val="0"/>
        <w:jc w:val="both"/>
        <w:rPr>
          <w:b/>
          <w:bCs/>
          <w:u w:val="single"/>
        </w:rPr>
      </w:pPr>
      <w:r>
        <w:rPr>
          <w:rFonts w:hint="cs"/>
          <w:rtl/>
        </w:rPr>
        <w:t xml:space="preserve">לטענתו, ההמחאות הופקדו בחשבון האישה בידיעתה ותוך הכרת תודה על הרשות שניתנה לאיש ולאישה לעשות שימוש בנכס המקרקעין. ההמחאות הופקדו בחשבון זה מאחר שלא ניתן היה לעשות שימוש בחשבון של האיש, בהיותו שכיר; מאחר והחשבון לא היה פעיל ומאחר והצדדים נהנו מכך שנותרו בחשבון סכומים שונים שבחר האב להשאיר והשלים מכיסו את התשלום לפועלים שהועסקו על ידי המעסיק (סעיפים 48-43 לתצהיר). </w:t>
      </w:r>
    </w:p>
    <w:p w:rsidR="00EF530D" w:rsidRPr="00EF530D" w:rsidRDefault="00617BE3" w:rsidP="000B616C">
      <w:pPr>
        <w:pStyle w:val="ae"/>
        <w:spacing w:after="120" w:line="360" w:lineRule="auto"/>
        <w:ind w:left="567"/>
        <w:contextualSpacing w:val="0"/>
        <w:jc w:val="both"/>
        <w:rPr>
          <w:b/>
          <w:bCs/>
          <w:u w:val="single"/>
        </w:rPr>
      </w:pPr>
      <w:r>
        <w:rPr>
          <w:rFonts w:hint="cs"/>
          <w:rtl/>
        </w:rPr>
        <w:t>האיש הוסיף וטען, כי הכספים הופקדו משך כ4-5 שנים וכי האיש משך את הכספים בחודש דצמבר, 2019, חודשים טרם הפרידה אך האישה לא עשתה דבר, בידיעה כי הכספים האלה אינם שייכים לבני הזוג (סעיפים 51-49</w:t>
      </w:r>
      <w:r w:rsidR="00EF530D">
        <w:rPr>
          <w:rFonts w:hint="cs"/>
          <w:rtl/>
        </w:rPr>
        <w:t>)</w:t>
      </w:r>
      <w:r>
        <w:rPr>
          <w:rFonts w:hint="cs"/>
          <w:rtl/>
        </w:rPr>
        <w:t>.</w:t>
      </w:r>
    </w:p>
    <w:p w:rsidR="00EF530D" w:rsidRDefault="00EF530D" w:rsidP="00EF530D">
      <w:pPr>
        <w:pStyle w:val="ae"/>
        <w:spacing w:after="120" w:line="360" w:lineRule="auto"/>
        <w:ind w:left="567"/>
        <w:contextualSpacing w:val="0"/>
        <w:jc w:val="both"/>
        <w:rPr>
          <w:rtl/>
        </w:rPr>
      </w:pPr>
      <w:r w:rsidRPr="000B616C">
        <w:rPr>
          <w:rFonts w:hint="cs"/>
          <w:b/>
          <w:bCs/>
          <w:rtl/>
        </w:rPr>
        <w:t>האב</w:t>
      </w:r>
      <w:r>
        <w:rPr>
          <w:rFonts w:hint="cs"/>
          <w:rtl/>
        </w:rPr>
        <w:t xml:space="preserve"> טען טענות דומות לבן (סעיפים 35-33 לתצהיר האב).</w:t>
      </w:r>
    </w:p>
    <w:p w:rsidR="000B616C" w:rsidRDefault="00EF530D" w:rsidP="00741F84">
      <w:pPr>
        <w:pStyle w:val="ae"/>
        <w:spacing w:after="120" w:line="360" w:lineRule="auto"/>
        <w:ind w:left="567"/>
        <w:contextualSpacing w:val="0"/>
        <w:jc w:val="both"/>
        <w:rPr>
          <w:b/>
          <w:bCs/>
          <w:rtl/>
        </w:rPr>
      </w:pPr>
      <w:r w:rsidRPr="000B616C">
        <w:rPr>
          <w:rFonts w:hint="cs"/>
          <w:b/>
          <w:bCs/>
          <w:rtl/>
        </w:rPr>
        <w:t>מר ק</w:t>
      </w:r>
      <w:r w:rsidR="00741F84">
        <w:rPr>
          <w:rFonts w:hint="cs"/>
          <w:b/>
          <w:bCs/>
          <w:rtl/>
        </w:rPr>
        <w:t>'</w:t>
      </w:r>
      <w:r>
        <w:rPr>
          <w:rFonts w:hint="cs"/>
          <w:rtl/>
        </w:rPr>
        <w:t>, הבעלים של המעסיק</w:t>
      </w:r>
      <w:r w:rsidR="00617BE3">
        <w:rPr>
          <w:rFonts w:hint="cs"/>
          <w:rtl/>
        </w:rPr>
        <w:t xml:space="preserve"> </w:t>
      </w:r>
      <w:r>
        <w:rPr>
          <w:rFonts w:hint="cs"/>
          <w:rtl/>
        </w:rPr>
        <w:t>העיד, כי האב "</w:t>
      </w:r>
      <w:r w:rsidRPr="000B616C">
        <w:rPr>
          <w:rFonts w:hint="cs"/>
          <w:b/>
          <w:bCs/>
          <w:rtl/>
        </w:rPr>
        <w:t xml:space="preserve">היה מסיע פועלים מהשטחים למקומות העבודה השונים מנקודת איסוף ובחזקה כאשר את דמי ההסעה עצמה מר </w:t>
      </w:r>
      <w:r w:rsidR="00741F84">
        <w:rPr>
          <w:rFonts w:hint="cs"/>
          <w:b/>
          <w:bCs/>
          <w:rtl/>
        </w:rPr>
        <w:t>-----</w:t>
      </w:r>
      <w:r w:rsidRPr="000B616C">
        <w:rPr>
          <w:rFonts w:hint="cs"/>
          <w:b/>
          <w:bCs/>
          <w:rtl/>
        </w:rPr>
        <w:t xml:space="preserve"> גבה מאת הפועלים שהיה מסיע</w:t>
      </w:r>
      <w:r w:rsidR="000B616C" w:rsidRPr="000B616C">
        <w:rPr>
          <w:rFonts w:hint="cs"/>
          <w:b/>
          <w:bCs/>
          <w:rtl/>
        </w:rPr>
        <w:t>"</w:t>
      </w:r>
      <w:r w:rsidRPr="000B616C">
        <w:rPr>
          <w:rFonts w:hint="cs"/>
          <w:b/>
          <w:bCs/>
          <w:rtl/>
        </w:rPr>
        <w:t xml:space="preserve"> </w:t>
      </w:r>
    </w:p>
    <w:p w:rsidR="00617BE3" w:rsidRDefault="000B616C" w:rsidP="00741F84">
      <w:pPr>
        <w:pStyle w:val="ae"/>
        <w:spacing w:after="120" w:line="360" w:lineRule="auto"/>
        <w:ind w:left="567"/>
        <w:contextualSpacing w:val="0"/>
        <w:jc w:val="both"/>
        <w:rPr>
          <w:rtl/>
        </w:rPr>
      </w:pPr>
      <w:r w:rsidRPr="000B616C">
        <w:rPr>
          <w:rFonts w:hint="cs"/>
          <w:rtl/>
        </w:rPr>
        <w:t>עוד העיד, כי</w:t>
      </w:r>
      <w:r>
        <w:rPr>
          <w:rFonts w:hint="cs"/>
          <w:b/>
          <w:bCs/>
          <w:rtl/>
        </w:rPr>
        <w:t xml:space="preserve"> </w:t>
      </w:r>
      <w:r w:rsidR="00EF530D" w:rsidRPr="00EF530D">
        <w:rPr>
          <w:rFonts w:hint="cs"/>
          <w:b/>
          <w:bCs/>
          <w:rtl/>
        </w:rPr>
        <w:t xml:space="preserve">" היתה נהוגה משך שנים פרקטיקה לפיה עובדים </w:t>
      </w:r>
      <w:r w:rsidR="00EF530D">
        <w:rPr>
          <w:rFonts w:hint="cs"/>
          <w:b/>
          <w:bCs/>
          <w:rtl/>
        </w:rPr>
        <w:t xml:space="preserve">פלשתינאים היו מבקשים להסב את שכרם לצד ג' כדי להמנע מלהפקיד את המשכורת בבנק פלשתינאי. במסגרת הזו נוצרו יחסי אמון בין העובדים למר </w:t>
      </w:r>
      <w:r w:rsidR="00741F84">
        <w:rPr>
          <w:rFonts w:hint="cs"/>
          <w:b/>
          <w:bCs/>
          <w:rtl/>
        </w:rPr>
        <w:t>---</w:t>
      </w:r>
      <w:r w:rsidR="00EF530D">
        <w:rPr>
          <w:rFonts w:hint="cs"/>
          <w:b/>
          <w:bCs/>
          <w:rtl/>
        </w:rPr>
        <w:t xml:space="preserve"> במהלכם התבקשה החברה להסב את התשלום כשיק </w:t>
      </w:r>
      <w:r w:rsidR="00EF530D">
        <w:rPr>
          <w:rFonts w:hint="cs"/>
          <w:b/>
          <w:bCs/>
          <w:rtl/>
        </w:rPr>
        <w:lastRenderedPageBreak/>
        <w:t xml:space="preserve">פתוח שנמסר למר </w:t>
      </w:r>
      <w:r w:rsidR="00741F84">
        <w:rPr>
          <w:rFonts w:hint="cs"/>
          <w:b/>
          <w:bCs/>
          <w:rtl/>
        </w:rPr>
        <w:t>----</w:t>
      </w:r>
      <w:r w:rsidR="00EF530D">
        <w:rPr>
          <w:rFonts w:hint="cs"/>
          <w:b/>
          <w:bCs/>
          <w:rtl/>
        </w:rPr>
        <w:t xml:space="preserve"> והאחרון היה מפקיד את השיק שהיווה שכר עבודה לפועלים שהסיע, היה מנכה את דמי הנסיעה ומשלם לעובדים את יתרת השכר כל אחד לפי חלקו" </w:t>
      </w:r>
      <w:r w:rsidR="00EF530D">
        <w:rPr>
          <w:rFonts w:hint="cs"/>
          <w:rtl/>
        </w:rPr>
        <w:t>(סעיף 4 לתצהיר מר ק</w:t>
      </w:r>
      <w:r w:rsidR="00741F84">
        <w:rPr>
          <w:rFonts w:hint="cs"/>
          <w:rtl/>
        </w:rPr>
        <w:t>'</w:t>
      </w:r>
      <w:r w:rsidR="00EF530D">
        <w:rPr>
          <w:rFonts w:hint="cs"/>
          <w:rtl/>
        </w:rPr>
        <w:t>). עוד הצהיר מר ק</w:t>
      </w:r>
      <w:r w:rsidR="00741F84">
        <w:rPr>
          <w:rFonts w:hint="cs"/>
          <w:rtl/>
        </w:rPr>
        <w:t>'</w:t>
      </w:r>
      <w:r w:rsidR="00EF530D">
        <w:rPr>
          <w:rFonts w:hint="cs"/>
          <w:rtl/>
        </w:rPr>
        <w:t xml:space="preserve">, כי האיש לא היה חלק מהסידור האמור ולא עבד בשירות המעסיק. </w:t>
      </w:r>
    </w:p>
    <w:p w:rsidR="000B616C" w:rsidRDefault="00245B00" w:rsidP="00245B00">
      <w:pPr>
        <w:pStyle w:val="ae"/>
        <w:numPr>
          <w:ilvl w:val="0"/>
          <w:numId w:val="2"/>
        </w:numPr>
        <w:spacing w:after="120" w:line="360" w:lineRule="auto"/>
        <w:ind w:left="567" w:hanging="567"/>
        <w:contextualSpacing w:val="0"/>
        <w:jc w:val="both"/>
      </w:pPr>
      <w:r w:rsidRPr="000B616C">
        <w:rPr>
          <w:rFonts w:hint="cs"/>
          <w:b/>
          <w:bCs/>
          <w:rtl/>
        </w:rPr>
        <w:t>האב</w:t>
      </w:r>
      <w:r>
        <w:rPr>
          <w:rFonts w:hint="cs"/>
          <w:rtl/>
        </w:rPr>
        <w:t xml:space="preserve"> העיד, כי ברשותו חשבון בנק אליו וכי כספי ההסעות נכנסו לחשבון על שם האישה כדי להמנע מהמתנה בתור (עמ' 29, ש' 34-19); כי ביקש מהאיש שהכספים יופקדו בחשבון שלו אך הם הופקדו בחשבון האישה (עמ' 30, ש' 6). </w:t>
      </w:r>
    </w:p>
    <w:p w:rsidR="000B616C" w:rsidRDefault="00FF0D04" w:rsidP="000B616C">
      <w:pPr>
        <w:pStyle w:val="ae"/>
        <w:spacing w:after="120" w:line="360" w:lineRule="auto"/>
        <w:ind w:left="567"/>
        <w:contextualSpacing w:val="0"/>
        <w:jc w:val="both"/>
        <w:rPr>
          <w:rtl/>
        </w:rPr>
      </w:pPr>
      <w:r>
        <w:rPr>
          <w:rFonts w:hint="cs"/>
          <w:rtl/>
        </w:rPr>
        <w:t xml:space="preserve">גם </w:t>
      </w:r>
      <w:r w:rsidRPr="000B616C">
        <w:rPr>
          <w:rFonts w:hint="cs"/>
          <w:b/>
          <w:bCs/>
          <w:rtl/>
        </w:rPr>
        <w:t>האיש</w:t>
      </w:r>
      <w:r>
        <w:rPr>
          <w:rFonts w:hint="cs"/>
          <w:rtl/>
        </w:rPr>
        <w:t xml:space="preserve"> העיד, כי סיבת ההפקדה בחשבון של האישה נועדה להקל על האב שלא יעמוד בתור (עמ' 36, ש' 11-8)</w:t>
      </w:r>
      <w:r w:rsidR="00182D84">
        <w:rPr>
          <w:rFonts w:hint="cs"/>
          <w:rtl/>
        </w:rPr>
        <w:t xml:space="preserve">. עוד העיד, כי ההפקדות בוצעו על ידיו (עמ' 36, ש' 17-14). </w:t>
      </w:r>
    </w:p>
    <w:p w:rsidR="00245B00" w:rsidRDefault="00182D84" w:rsidP="000B616C">
      <w:pPr>
        <w:pStyle w:val="ae"/>
        <w:spacing w:after="120" w:line="360" w:lineRule="auto"/>
        <w:ind w:left="567"/>
        <w:contextualSpacing w:val="0"/>
        <w:jc w:val="both"/>
      </w:pPr>
      <w:r>
        <w:rPr>
          <w:rFonts w:hint="cs"/>
          <w:rtl/>
        </w:rPr>
        <w:t xml:space="preserve">כאשר נשאל האיש מדוע הופקדו הכספים בחשבון של האישה ולא בחשבון האב השיב, כי </w:t>
      </w:r>
      <w:r>
        <w:rPr>
          <w:rFonts w:hint="cs"/>
          <w:b/>
          <w:bCs/>
          <w:rtl/>
        </w:rPr>
        <w:t xml:space="preserve">"אין לי זכות למשוך שם את הכסף" </w:t>
      </w:r>
      <w:r>
        <w:rPr>
          <w:rFonts w:hint="cs"/>
          <w:rtl/>
        </w:rPr>
        <w:t>וכך אפשר להפקיד ולמשוך באותו הרגע (עמ' 36, ש' 24-18</w:t>
      </w:r>
    </w:p>
    <w:p w:rsidR="00245B00" w:rsidRDefault="00245B00" w:rsidP="00245B00">
      <w:pPr>
        <w:pStyle w:val="ae"/>
        <w:spacing w:after="120" w:line="360" w:lineRule="auto"/>
        <w:ind w:left="567"/>
        <w:contextualSpacing w:val="0"/>
        <w:jc w:val="both"/>
        <w:rPr>
          <w:rtl/>
        </w:rPr>
      </w:pPr>
      <w:r>
        <w:rPr>
          <w:rFonts w:hint="cs"/>
          <w:rtl/>
        </w:rPr>
        <w:t>האיש הצהיר שהכספים הופקדו בנאמנות, אך האב לא ידע להסביר ענין זה (עמ' 30, ש' 8-7).</w:t>
      </w:r>
    </w:p>
    <w:p w:rsidR="000B616C" w:rsidRDefault="00245B00" w:rsidP="000B616C">
      <w:pPr>
        <w:pStyle w:val="ae"/>
        <w:spacing w:after="120" w:line="360" w:lineRule="auto"/>
        <w:ind w:left="567"/>
        <w:contextualSpacing w:val="0"/>
        <w:jc w:val="both"/>
        <w:rPr>
          <w:rtl/>
        </w:rPr>
      </w:pPr>
      <w:r w:rsidRPr="000B616C">
        <w:rPr>
          <w:rFonts w:hint="cs"/>
          <w:b/>
          <w:bCs/>
          <w:rtl/>
        </w:rPr>
        <w:t>האב</w:t>
      </w:r>
      <w:r w:rsidR="00182D84">
        <w:rPr>
          <w:rFonts w:hint="cs"/>
          <w:rtl/>
        </w:rPr>
        <w:t xml:space="preserve"> העיד</w:t>
      </w:r>
      <w:r>
        <w:rPr>
          <w:rFonts w:hint="cs"/>
          <w:rtl/>
        </w:rPr>
        <w:t>, כי קיבל המחאה שמרכזת את התשלום עבור כל הפועלים והפקיד אותה בחשבון של בנו (עמ' 31, ש' 9-7)</w:t>
      </w:r>
      <w:r w:rsidR="000B616C">
        <w:rPr>
          <w:rFonts w:hint="cs"/>
          <w:rtl/>
        </w:rPr>
        <w:t>.</w:t>
      </w:r>
      <w:r>
        <w:rPr>
          <w:rFonts w:hint="cs"/>
          <w:rtl/>
        </w:rPr>
        <w:t xml:space="preserve"> </w:t>
      </w:r>
    </w:p>
    <w:p w:rsidR="00245B00" w:rsidRDefault="00245B00" w:rsidP="000B616C">
      <w:pPr>
        <w:pStyle w:val="ae"/>
        <w:spacing w:after="120" w:line="360" w:lineRule="auto"/>
        <w:ind w:left="567"/>
        <w:contextualSpacing w:val="0"/>
        <w:jc w:val="both"/>
        <w:rPr>
          <w:rtl/>
        </w:rPr>
      </w:pPr>
      <w:r w:rsidRPr="000B616C">
        <w:rPr>
          <w:rFonts w:hint="cs"/>
          <w:b/>
          <w:bCs/>
          <w:rtl/>
        </w:rPr>
        <w:t>אחותה של האישה</w:t>
      </w:r>
      <w:r>
        <w:rPr>
          <w:rFonts w:hint="cs"/>
          <w:rtl/>
        </w:rPr>
        <w:t xml:space="preserve"> העידה, כי האיש נהג לסייע לאביו בעסקי ההסעות (עמ' 23, ש' 33 </w:t>
      </w:r>
      <w:r w:rsidR="000B616C">
        <w:rPr>
          <w:rFonts w:hint="cs"/>
          <w:rtl/>
        </w:rPr>
        <w:t>-</w:t>
      </w:r>
      <w:r>
        <w:rPr>
          <w:rFonts w:hint="cs"/>
          <w:rtl/>
        </w:rPr>
        <w:t xml:space="preserve"> עמ' 24, ש' 4).</w:t>
      </w:r>
    </w:p>
    <w:p w:rsidR="00FF0D04" w:rsidRDefault="00FF0D04" w:rsidP="00245B00">
      <w:pPr>
        <w:pStyle w:val="ae"/>
        <w:spacing w:after="120" w:line="360" w:lineRule="auto"/>
        <w:ind w:left="567"/>
        <w:contextualSpacing w:val="0"/>
        <w:jc w:val="both"/>
        <w:rPr>
          <w:rtl/>
        </w:rPr>
      </w:pPr>
      <w:r w:rsidRPr="000B616C">
        <w:rPr>
          <w:rFonts w:hint="cs"/>
          <w:b/>
          <w:bCs/>
          <w:rtl/>
        </w:rPr>
        <w:t xml:space="preserve">האב </w:t>
      </w:r>
      <w:r>
        <w:rPr>
          <w:rFonts w:hint="cs"/>
          <w:rtl/>
        </w:rPr>
        <w:t xml:space="preserve">טען, כי הכספים נכנסו ויצאו כדי לשלם לפועלים אולם לא הוצג הסבר ברור ביחס לעובדה כי היתרה בחשבון היתה סך של כ-370,000 </w:t>
      </w:r>
      <w:r w:rsidR="00C54B5E">
        <w:rPr>
          <w:rFonts w:hint="cs"/>
          <w:rtl/>
        </w:rPr>
        <w:t>ש</w:t>
      </w:r>
      <w:r w:rsidR="00C54B5E">
        <w:rPr>
          <w:rtl/>
        </w:rPr>
        <w:t>"</w:t>
      </w:r>
      <w:r w:rsidR="00C54B5E">
        <w:rPr>
          <w:rFonts w:hint="cs"/>
          <w:rtl/>
        </w:rPr>
        <w:t>ח</w:t>
      </w:r>
      <w:r>
        <w:rPr>
          <w:rFonts w:hint="cs"/>
          <w:rtl/>
        </w:rPr>
        <w:t xml:space="preserve"> (עמ' 32, ש' 17-1)</w:t>
      </w:r>
      <w:r w:rsidR="00036DFF">
        <w:rPr>
          <w:rFonts w:hint="cs"/>
          <w:rtl/>
        </w:rPr>
        <w:t>. כאשר נשאל האיש בענין זה השיב, כי האב השאיר לשימושו כספים (עמ' 36, ש' 34-31).</w:t>
      </w:r>
    </w:p>
    <w:p w:rsidR="00036DFF" w:rsidRDefault="00036DFF" w:rsidP="000B616C">
      <w:pPr>
        <w:pStyle w:val="ae"/>
        <w:spacing w:after="120" w:line="360" w:lineRule="auto"/>
        <w:ind w:left="567"/>
        <w:contextualSpacing w:val="0"/>
        <w:jc w:val="both"/>
        <w:rPr>
          <w:rtl/>
        </w:rPr>
      </w:pPr>
      <w:r w:rsidRPr="000B616C">
        <w:rPr>
          <w:rFonts w:hint="cs"/>
          <w:b/>
          <w:bCs/>
          <w:rtl/>
        </w:rPr>
        <w:t>האישה</w:t>
      </w:r>
      <w:r>
        <w:rPr>
          <w:rFonts w:hint="cs"/>
          <w:rtl/>
        </w:rPr>
        <w:t xml:space="preserve"> העידה, כי האיש סייע לאביו בהסעת הפועלים (עמ' 50, ש' 25-19</w:t>
      </w:r>
      <w:r w:rsidR="00A64EB5">
        <w:rPr>
          <w:rFonts w:hint="cs"/>
          <w:rtl/>
        </w:rPr>
        <w:t xml:space="preserve">), כי האיש אמר לה שכספי החשבון הם כספים של אביו אך היא אינה סבורה כך (עמ' 48, ש' 27) וכי אישרה את העברת הכספים לחשבון האב בזמן אמת ולא התנגדה לכך (עמ' 49, ש' 31-12). ורק כאשר שוחחה עם עורכת הדין שלה הבינה שהענין מתברר בהליך משפטי בבבית המשפט (עמ' 49, ש' 33 </w:t>
      </w:r>
      <w:r w:rsidR="000B616C">
        <w:rPr>
          <w:rFonts w:hint="cs"/>
          <w:rtl/>
        </w:rPr>
        <w:t>-</w:t>
      </w:r>
      <w:r w:rsidR="00A64EB5">
        <w:rPr>
          <w:rFonts w:hint="cs"/>
          <w:rtl/>
        </w:rPr>
        <w:t xml:space="preserve"> עמ' 50, ש' 14).</w:t>
      </w:r>
    </w:p>
    <w:p w:rsidR="00046ADE" w:rsidRDefault="009D7B9E" w:rsidP="00741F84">
      <w:pPr>
        <w:pStyle w:val="ae"/>
        <w:spacing w:after="120" w:line="360" w:lineRule="auto"/>
        <w:ind w:left="567"/>
        <w:contextualSpacing w:val="0"/>
        <w:jc w:val="both"/>
        <w:rPr>
          <w:rtl/>
        </w:rPr>
      </w:pPr>
      <w:r w:rsidRPr="000B616C">
        <w:rPr>
          <w:rFonts w:hint="cs"/>
          <w:b/>
          <w:bCs/>
          <w:rtl/>
        </w:rPr>
        <w:t>מר ק</w:t>
      </w:r>
      <w:r w:rsidR="00741F84">
        <w:rPr>
          <w:rFonts w:hint="cs"/>
          <w:b/>
          <w:bCs/>
          <w:rtl/>
        </w:rPr>
        <w:t xml:space="preserve">' </w:t>
      </w:r>
      <w:r>
        <w:rPr>
          <w:rFonts w:hint="cs"/>
          <w:rtl/>
        </w:rPr>
        <w:t>העיד, כי התשלום לפועלים היה יומי, אך ההמחאה שניתנה לאב היא חודשית (עמ' 53, ש' 27-21) וכי האב נדרש לשלם לפועלים. כאשר נשאל מר ק</w:t>
      </w:r>
      <w:r w:rsidR="00741F84">
        <w:rPr>
          <w:rFonts w:hint="cs"/>
          <w:rtl/>
        </w:rPr>
        <w:t>'</w:t>
      </w:r>
      <w:r>
        <w:rPr>
          <w:rFonts w:hint="cs"/>
          <w:rtl/>
        </w:rPr>
        <w:t xml:space="preserve"> כיצד יתכן שהסכומים בבנק נצברים לאור הטענה כי הכספים נועדו לשלם משכורות לפועלים השיב, כי הוא אינו יודע מה קורה אצלו בחשבון וכי הוא מאמין שהם קיבלו את הכספים ששולמו להם, אחרת לא היו באים </w:t>
      </w:r>
      <w:r>
        <w:rPr>
          <w:rFonts w:hint="cs"/>
          <w:rtl/>
        </w:rPr>
        <w:lastRenderedPageBreak/>
        <w:t>לעבוד (עמ' 54, ש' 5-1). עוד טען מר ק</w:t>
      </w:r>
      <w:r w:rsidR="00741F84">
        <w:rPr>
          <w:rFonts w:hint="cs"/>
          <w:rtl/>
        </w:rPr>
        <w:t>'</w:t>
      </w:r>
      <w:r>
        <w:rPr>
          <w:rFonts w:hint="cs"/>
          <w:rtl/>
        </w:rPr>
        <w:t xml:space="preserve">, כי הסדר זה מתייחס לתקופה של לפני כחמש שנים (עמ' 54, ש' 23) וכי מדובר בסכומים של כ-70,000 עד 90,000 </w:t>
      </w:r>
      <w:r w:rsidR="00C54B5E">
        <w:rPr>
          <w:rFonts w:hint="cs"/>
          <w:rtl/>
        </w:rPr>
        <w:t>ש</w:t>
      </w:r>
      <w:r w:rsidR="00C54B5E">
        <w:rPr>
          <w:rtl/>
        </w:rPr>
        <w:t>"</w:t>
      </w:r>
      <w:r w:rsidR="00C54B5E">
        <w:rPr>
          <w:rFonts w:hint="cs"/>
          <w:rtl/>
        </w:rPr>
        <w:t>ח</w:t>
      </w:r>
      <w:r>
        <w:rPr>
          <w:rFonts w:hint="cs"/>
          <w:rtl/>
        </w:rPr>
        <w:t xml:space="preserve"> (עמ' 54, ש' 29).</w:t>
      </w:r>
    </w:p>
    <w:p w:rsidR="000B616C" w:rsidRDefault="00046ADE" w:rsidP="00046ADE">
      <w:pPr>
        <w:pStyle w:val="ae"/>
        <w:numPr>
          <w:ilvl w:val="0"/>
          <w:numId w:val="2"/>
        </w:numPr>
        <w:spacing w:after="120" w:line="360" w:lineRule="auto"/>
        <w:ind w:left="567" w:hanging="567"/>
        <w:contextualSpacing w:val="0"/>
        <w:jc w:val="both"/>
      </w:pPr>
      <w:r>
        <w:rPr>
          <w:rFonts w:hint="cs"/>
          <w:rtl/>
        </w:rPr>
        <w:t xml:space="preserve">עיון בדפי החשבון מקשה על קבלת גרסת האב והאיש. </w:t>
      </w:r>
    </w:p>
    <w:p w:rsidR="009D7B9E" w:rsidRDefault="00046ADE" w:rsidP="00741F84">
      <w:pPr>
        <w:pStyle w:val="ae"/>
        <w:spacing w:after="120" w:line="360" w:lineRule="auto"/>
        <w:ind w:left="567"/>
        <w:contextualSpacing w:val="0"/>
        <w:jc w:val="both"/>
      </w:pPr>
      <w:r>
        <w:rPr>
          <w:rFonts w:hint="cs"/>
          <w:rtl/>
        </w:rPr>
        <w:t>עיון בתדפיסים מלמד על הפקדה במועדים שונים, כאשר אין הפקדה קבועה חודשית (כך למשל</w:t>
      </w:r>
      <w:r w:rsidR="000B616C">
        <w:rPr>
          <w:rFonts w:hint="cs"/>
          <w:rtl/>
        </w:rPr>
        <w:t xml:space="preserve"> ביום </w:t>
      </w:r>
      <w:r>
        <w:rPr>
          <w:rFonts w:hint="cs"/>
          <w:rtl/>
        </w:rPr>
        <w:t xml:space="preserve"> 25.5.2018 </w:t>
      </w:r>
      <w:r w:rsidR="000B616C">
        <w:rPr>
          <w:rFonts w:hint="cs"/>
          <w:rtl/>
        </w:rPr>
        <w:t xml:space="preserve">הופקד </w:t>
      </w:r>
      <w:r>
        <w:rPr>
          <w:rFonts w:hint="cs"/>
          <w:rtl/>
        </w:rPr>
        <w:t>סך של כ</w:t>
      </w:r>
      <w:r w:rsidR="000B616C">
        <w:rPr>
          <w:rFonts w:hint="cs"/>
          <w:rtl/>
        </w:rPr>
        <w:t xml:space="preserve">- </w:t>
      </w:r>
      <w:r>
        <w:rPr>
          <w:rFonts w:hint="cs"/>
          <w:rtl/>
        </w:rPr>
        <w:t xml:space="preserve">31,975 </w:t>
      </w:r>
      <w:r w:rsidR="00C54B5E">
        <w:rPr>
          <w:rFonts w:hint="cs"/>
          <w:rtl/>
        </w:rPr>
        <w:t>ש</w:t>
      </w:r>
      <w:r w:rsidR="00C54B5E">
        <w:rPr>
          <w:rtl/>
        </w:rPr>
        <w:t>"</w:t>
      </w:r>
      <w:r w:rsidR="00C54B5E">
        <w:rPr>
          <w:rFonts w:hint="cs"/>
          <w:rtl/>
        </w:rPr>
        <w:t>ח</w:t>
      </w:r>
      <w:r>
        <w:rPr>
          <w:rFonts w:hint="cs"/>
          <w:rtl/>
        </w:rPr>
        <w:t xml:space="preserve">; </w:t>
      </w:r>
      <w:r w:rsidR="000B616C">
        <w:rPr>
          <w:rFonts w:hint="cs"/>
          <w:rtl/>
        </w:rPr>
        <w:t xml:space="preserve">ביום </w:t>
      </w:r>
      <w:r>
        <w:rPr>
          <w:rFonts w:hint="cs"/>
          <w:rtl/>
        </w:rPr>
        <w:t xml:space="preserve">14.6.2018 </w:t>
      </w:r>
      <w:r w:rsidR="000B616C">
        <w:rPr>
          <w:rFonts w:hint="cs"/>
          <w:rtl/>
        </w:rPr>
        <w:t xml:space="preserve">הופקד </w:t>
      </w:r>
      <w:r>
        <w:rPr>
          <w:rFonts w:hint="cs"/>
          <w:rtl/>
        </w:rPr>
        <w:t xml:space="preserve">סך של 20,745 </w:t>
      </w:r>
      <w:r w:rsidR="000B616C">
        <w:rPr>
          <w:rFonts w:hint="cs"/>
          <w:rtl/>
        </w:rPr>
        <w:t>ש"ח;</w:t>
      </w:r>
      <w:r>
        <w:rPr>
          <w:rFonts w:hint="cs"/>
          <w:rtl/>
        </w:rPr>
        <w:t xml:space="preserve"> ביום 3.8.2019 </w:t>
      </w:r>
      <w:r w:rsidR="000B616C">
        <w:rPr>
          <w:rFonts w:hint="cs"/>
          <w:rtl/>
        </w:rPr>
        <w:t xml:space="preserve">הופקד </w:t>
      </w:r>
      <w:r>
        <w:rPr>
          <w:rFonts w:hint="cs"/>
          <w:rtl/>
        </w:rPr>
        <w:t xml:space="preserve">סך של 23,780 </w:t>
      </w:r>
      <w:r w:rsidR="00C54B5E">
        <w:rPr>
          <w:rFonts w:hint="cs"/>
          <w:rtl/>
        </w:rPr>
        <w:t>ש</w:t>
      </w:r>
      <w:r w:rsidR="00C54B5E">
        <w:rPr>
          <w:rtl/>
        </w:rPr>
        <w:t>"</w:t>
      </w:r>
      <w:r w:rsidR="00C54B5E">
        <w:rPr>
          <w:rFonts w:hint="cs"/>
          <w:rtl/>
        </w:rPr>
        <w:t>ח</w:t>
      </w:r>
      <w:r>
        <w:rPr>
          <w:rFonts w:hint="cs"/>
          <w:rtl/>
        </w:rPr>
        <w:t>) בנוסף, הסכומים שהופקדו לא תואמים את עדותו של מר ק</w:t>
      </w:r>
      <w:r w:rsidR="00741F84">
        <w:rPr>
          <w:rFonts w:hint="cs"/>
          <w:rtl/>
        </w:rPr>
        <w:t>'</w:t>
      </w:r>
      <w:r>
        <w:rPr>
          <w:rFonts w:hint="cs"/>
          <w:rtl/>
        </w:rPr>
        <w:t>בדבר הסכומים שהיו משולמים לאב</w:t>
      </w:r>
      <w:r w:rsidR="00CA5845">
        <w:rPr>
          <w:rFonts w:hint="cs"/>
          <w:rtl/>
        </w:rPr>
        <w:t xml:space="preserve"> מידי חודש עבור הפועלים</w:t>
      </w:r>
      <w:r>
        <w:rPr>
          <w:rFonts w:hint="cs"/>
          <w:rtl/>
        </w:rPr>
        <w:t xml:space="preserve">. </w:t>
      </w:r>
    </w:p>
    <w:p w:rsidR="00046ADE" w:rsidRDefault="00046ADE" w:rsidP="00046ADE">
      <w:pPr>
        <w:pStyle w:val="ae"/>
        <w:numPr>
          <w:ilvl w:val="0"/>
          <w:numId w:val="2"/>
        </w:numPr>
        <w:spacing w:after="120" w:line="360" w:lineRule="auto"/>
        <w:ind w:left="567" w:hanging="567"/>
        <w:contextualSpacing w:val="0"/>
        <w:jc w:val="both"/>
      </w:pPr>
      <w:r>
        <w:rPr>
          <w:rFonts w:hint="cs"/>
          <w:rtl/>
        </w:rPr>
        <w:t>בנוסף, הסכומים שנמשכו לא תואמים את הסכומים שהופקדו, כך שקשה לקבל את הטענה שמדובר היה בסכומים שהופקדו בנאמנות עבור תשלום שכר וגם ה</w:t>
      </w:r>
      <w:r w:rsidR="008E77F7">
        <w:rPr>
          <w:rFonts w:hint="cs"/>
          <w:rtl/>
        </w:rPr>
        <w:t xml:space="preserve">טענה שמדובר בתשלום שכר עבודה בניכוי התשלום עבור הנסיעה אינו מובן שכן נצברו בחשבון כספים בסכומים גבוהים משך תקופה ארוכה ואילו אכן מדובר בכספי נסיעה מדוע נשארו בחשבון האישה? </w:t>
      </w:r>
    </w:p>
    <w:p w:rsidR="008E77F7" w:rsidRDefault="008E77F7" w:rsidP="00046ADE">
      <w:pPr>
        <w:pStyle w:val="ae"/>
        <w:numPr>
          <w:ilvl w:val="0"/>
          <w:numId w:val="2"/>
        </w:numPr>
        <w:spacing w:after="120" w:line="360" w:lineRule="auto"/>
        <w:ind w:left="567" w:hanging="567"/>
        <w:contextualSpacing w:val="0"/>
        <w:jc w:val="both"/>
      </w:pPr>
      <w:r>
        <w:rPr>
          <w:rFonts w:hint="cs"/>
          <w:rtl/>
        </w:rPr>
        <w:t xml:space="preserve">בנוסף, ההסבר בדבר הפקדת הכספים בחשבון האישה ולא בחשבון האב אינם ברורים. הטיעון של חסכון בתור אינו מהווה תשובה ברורה לענין זה שכן שיקול של עמידה בתור אינו מהווה סיבה להפקדה בבנק אחד ולא בבנק אחר וגם לא במציאות בה הפקדת המחאה ומשיכת כספים אינה מחייבת כלל עמידה בתור (וממילא לא מסבירה מדוע יש צורך להפקיד בחשבון האישה כדי להמנע מתור שעה שביצוע ההפקדה והמשיכה יכול להתבצע לחשבון האב על ידי גורם אחר כך שלזהות בעל החשבון אין קשר לזהות מבצע הפעולה). </w:t>
      </w:r>
    </w:p>
    <w:p w:rsidR="008E77F7" w:rsidRDefault="008E77F7" w:rsidP="00741F84">
      <w:pPr>
        <w:pStyle w:val="ae"/>
        <w:numPr>
          <w:ilvl w:val="0"/>
          <w:numId w:val="2"/>
        </w:numPr>
        <w:spacing w:after="120" w:line="360" w:lineRule="auto"/>
        <w:ind w:left="567" w:hanging="567"/>
        <w:contextualSpacing w:val="0"/>
        <w:jc w:val="both"/>
      </w:pPr>
      <w:r>
        <w:rPr>
          <w:rFonts w:hint="cs"/>
          <w:rtl/>
        </w:rPr>
        <w:t>בנוסף, עדותו של מר ק</w:t>
      </w:r>
      <w:r w:rsidR="00741F84">
        <w:rPr>
          <w:rFonts w:hint="cs"/>
          <w:rtl/>
        </w:rPr>
        <w:t xml:space="preserve">' </w:t>
      </w:r>
      <w:r w:rsidR="00CA5845">
        <w:rPr>
          <w:rFonts w:hint="cs"/>
          <w:rtl/>
        </w:rPr>
        <w:t xml:space="preserve">לא הועילה לאב ולאיש שכן מר </w:t>
      </w:r>
      <w:r>
        <w:rPr>
          <w:rFonts w:hint="cs"/>
          <w:rtl/>
        </w:rPr>
        <w:t>ק</w:t>
      </w:r>
      <w:r w:rsidR="00741F84">
        <w:rPr>
          <w:rFonts w:hint="cs"/>
          <w:rtl/>
        </w:rPr>
        <w:t xml:space="preserve">' </w:t>
      </w:r>
      <w:r>
        <w:rPr>
          <w:rFonts w:hint="cs"/>
          <w:rtl/>
        </w:rPr>
        <w:t>ידע לומר ששילם כספים עבור העברה לפועלים אך לא ידע לקשור בין הסכומים ששילם ובין הסכומים שהופקדו בחשבון האישה והטענה בדבר כספי נאמנות אינה ברורה שעה שמר ק</w:t>
      </w:r>
      <w:r w:rsidR="00741F84">
        <w:rPr>
          <w:rFonts w:hint="cs"/>
          <w:rtl/>
        </w:rPr>
        <w:t>'</w:t>
      </w:r>
      <w:r>
        <w:rPr>
          <w:rFonts w:hint="cs"/>
          <w:rtl/>
        </w:rPr>
        <w:t xml:space="preserve"> העיד שהסדר זה היה נכון ללפני כחמש שנים ונותרה יתרה גבוהה בחשבון.</w:t>
      </w:r>
      <w:r w:rsidR="00CA5845">
        <w:rPr>
          <w:rFonts w:hint="cs"/>
          <w:rtl/>
        </w:rPr>
        <w:t xml:space="preserve"> אם מדובר בכספים שנשמרו עבורו המעסיק בנאמנות בכדי לשלם לפועלים כיצד יתכן שנותרו יתרות מ</w:t>
      </w:r>
      <w:r w:rsidR="000E47F0">
        <w:rPr>
          <w:rFonts w:hint="cs"/>
          <w:rtl/>
        </w:rPr>
        <w:t>שך שנים לאחר שסידור זה הפסיק (ל</w:t>
      </w:r>
      <w:r w:rsidR="0032459A">
        <w:rPr>
          <w:rFonts w:hint="cs"/>
          <w:rtl/>
        </w:rPr>
        <w:t>דברי מר ק</w:t>
      </w:r>
      <w:r w:rsidR="00741F84">
        <w:rPr>
          <w:rFonts w:hint="cs"/>
          <w:rtl/>
        </w:rPr>
        <w:t>'</w:t>
      </w:r>
      <w:r w:rsidR="0032459A">
        <w:rPr>
          <w:rFonts w:hint="cs"/>
          <w:rtl/>
        </w:rPr>
        <w:t>, לפני כחמש שנים).</w:t>
      </w:r>
    </w:p>
    <w:p w:rsidR="008E77F7" w:rsidRDefault="008E77F7" w:rsidP="00741F84">
      <w:pPr>
        <w:pStyle w:val="ae"/>
        <w:numPr>
          <w:ilvl w:val="0"/>
          <w:numId w:val="2"/>
        </w:numPr>
        <w:spacing w:after="120" w:line="360" w:lineRule="auto"/>
        <w:ind w:left="567" w:hanging="567"/>
        <w:contextualSpacing w:val="0"/>
        <w:jc w:val="both"/>
      </w:pPr>
      <w:r>
        <w:rPr>
          <w:rFonts w:hint="cs"/>
          <w:rtl/>
        </w:rPr>
        <w:t xml:space="preserve">בנוסף, ככל שמדובר בכספים שהופקדו בנאמנות לא ברור מדוע בוצעה העברה לחשבון האב ולא לצד ג' (הפועלים) או חזרה למר </w:t>
      </w:r>
      <w:r w:rsidR="00741F84">
        <w:rPr>
          <w:rFonts w:hint="cs"/>
          <w:rtl/>
        </w:rPr>
        <w:t>ק'</w:t>
      </w:r>
      <w:r>
        <w:rPr>
          <w:rFonts w:hint="cs"/>
          <w:rtl/>
        </w:rPr>
        <w:t xml:space="preserve">. כל התיאור של הטעם להפקדת הכספים </w:t>
      </w:r>
      <w:r w:rsidR="0032459A">
        <w:rPr>
          <w:rFonts w:hint="cs"/>
          <w:rtl/>
        </w:rPr>
        <w:t xml:space="preserve">בחשבון האישה ומקורם של הכספים </w:t>
      </w:r>
      <w:r w:rsidR="00986A39">
        <w:rPr>
          <w:rFonts w:hint="cs"/>
          <w:rtl/>
        </w:rPr>
        <w:t xml:space="preserve">אינו הגיוני ואינו נתמך בדבר. </w:t>
      </w:r>
    </w:p>
    <w:p w:rsidR="0032459A" w:rsidRDefault="008E77F7" w:rsidP="00741F84">
      <w:pPr>
        <w:pStyle w:val="ae"/>
        <w:numPr>
          <w:ilvl w:val="0"/>
          <w:numId w:val="2"/>
        </w:numPr>
        <w:spacing w:after="120" w:line="360" w:lineRule="auto"/>
        <w:ind w:left="567" w:hanging="567"/>
        <w:contextualSpacing w:val="0"/>
        <w:jc w:val="both"/>
      </w:pPr>
      <w:r>
        <w:rPr>
          <w:rFonts w:hint="cs"/>
          <w:rtl/>
        </w:rPr>
        <w:t>כך, איני מקבלת את גרסת האב והאיש בכל הנוגע לכספים שהיו צבורים בחשבון הבנק שהתנהל בבנק ה</w:t>
      </w:r>
      <w:r w:rsidR="00741F84">
        <w:rPr>
          <w:rFonts w:hint="cs"/>
          <w:rtl/>
        </w:rPr>
        <w:t>----</w:t>
      </w:r>
      <w:r>
        <w:rPr>
          <w:rFonts w:hint="cs"/>
          <w:rtl/>
        </w:rPr>
        <w:t xml:space="preserve"> ואיני סבורה שהאיש עמד בנטל המוטל עליו להוכיח שמדובר בכספים שאינם שלו (וכפועל יוצא, מחצית של האישה)</w:t>
      </w:r>
      <w:r w:rsidR="0032459A">
        <w:rPr>
          <w:rFonts w:hint="cs"/>
          <w:rtl/>
        </w:rPr>
        <w:t>.</w:t>
      </w:r>
    </w:p>
    <w:p w:rsidR="008E77F7" w:rsidRPr="00EF530D" w:rsidRDefault="00986A39" w:rsidP="009800EB">
      <w:pPr>
        <w:pStyle w:val="ae"/>
        <w:spacing w:after="120" w:line="360" w:lineRule="auto"/>
        <w:ind w:left="567"/>
        <w:contextualSpacing w:val="0"/>
        <w:jc w:val="both"/>
        <w:rPr>
          <w:rtl/>
        </w:rPr>
      </w:pPr>
      <w:r>
        <w:rPr>
          <w:rFonts w:hint="cs"/>
          <w:rtl/>
        </w:rPr>
        <w:lastRenderedPageBreak/>
        <w:t>על כן</w:t>
      </w:r>
      <w:r w:rsidR="0032459A">
        <w:rPr>
          <w:rFonts w:hint="cs"/>
          <w:rtl/>
        </w:rPr>
        <w:t>, מאחר והאיש לא עמד בנטל המוטל עליו להוכיח כי הכספים אינם נכס שחל עליו משטר האיזון (או לחלופין, השיתוף); מאחר והאב והאיש לא הוכיחו שמדובר בכספי האב ולאור משיכת הכספים במהלך תקופת הנשואין והעברתם לחשבון צד ג', אני מחייבת א</w:t>
      </w:r>
      <w:r>
        <w:rPr>
          <w:rFonts w:hint="cs"/>
          <w:rtl/>
        </w:rPr>
        <w:t>ת</w:t>
      </w:r>
      <w:r w:rsidR="0032459A">
        <w:rPr>
          <w:rFonts w:hint="cs"/>
          <w:rtl/>
        </w:rPr>
        <w:t xml:space="preserve"> האיש</w:t>
      </w:r>
      <w:r>
        <w:rPr>
          <w:rFonts w:hint="cs"/>
          <w:rtl/>
        </w:rPr>
        <w:t xml:space="preserve"> בתשלום מחצית מהסכום</w:t>
      </w:r>
      <w:r w:rsidR="0032459A">
        <w:rPr>
          <w:rFonts w:hint="cs"/>
          <w:rtl/>
        </w:rPr>
        <w:t xml:space="preserve"> שנמשך מהחשבון ביום 29.9.2019 או במועד סמוך למועד זה בסך 354,520 ש"ח (כלומר, 177,260 </w:t>
      </w:r>
      <w:r w:rsidR="009800EB">
        <w:rPr>
          <w:rFonts w:hint="cs"/>
          <w:rtl/>
        </w:rPr>
        <w:t>ש"ח)</w:t>
      </w:r>
      <w:r w:rsidR="0032459A">
        <w:rPr>
          <w:rFonts w:hint="cs"/>
          <w:rtl/>
        </w:rPr>
        <w:t xml:space="preserve">. </w:t>
      </w:r>
      <w:r w:rsidR="009800EB">
        <w:rPr>
          <w:rFonts w:hint="cs"/>
          <w:rtl/>
        </w:rPr>
        <w:t xml:space="preserve">סכום זה ישולם בתוך 30 יום. </w:t>
      </w:r>
      <w:r w:rsidR="0032459A">
        <w:rPr>
          <w:rFonts w:hint="cs"/>
          <w:rtl/>
        </w:rPr>
        <w:t xml:space="preserve">הסכום יישא הפרשי הצמדה וריבית ממועד משיכת הסכום, כאמור, ועד למועד התשלום בפועל. </w:t>
      </w:r>
    </w:p>
    <w:p w:rsidR="000D62AA" w:rsidRDefault="000D62AA" w:rsidP="000D62AA">
      <w:pPr>
        <w:spacing w:after="120" w:line="360" w:lineRule="auto"/>
        <w:ind w:left="567" w:hanging="567"/>
        <w:jc w:val="both"/>
        <w:rPr>
          <w:b/>
          <w:bCs/>
          <w:u w:val="single"/>
          <w:rtl/>
        </w:rPr>
      </w:pPr>
      <w:r w:rsidRPr="009A73EA">
        <w:rPr>
          <w:rFonts w:hint="cs"/>
          <w:b/>
          <w:bCs/>
          <w:rtl/>
        </w:rPr>
        <w:t>א.</w:t>
      </w:r>
      <w:r>
        <w:rPr>
          <w:rFonts w:hint="cs"/>
          <w:b/>
          <w:bCs/>
          <w:rtl/>
        </w:rPr>
        <w:t>4</w:t>
      </w:r>
      <w:r w:rsidRPr="009A73EA">
        <w:rPr>
          <w:rFonts w:hint="cs"/>
          <w:b/>
          <w:bCs/>
          <w:rtl/>
        </w:rPr>
        <w:t xml:space="preserve">.2.5 </w:t>
      </w:r>
      <w:r>
        <w:rPr>
          <w:rFonts w:hint="cs"/>
          <w:b/>
          <w:bCs/>
          <w:u w:val="single"/>
          <w:rtl/>
        </w:rPr>
        <w:t>טענות האיש בענין זהב שהוענק לאישה</w:t>
      </w:r>
    </w:p>
    <w:p w:rsidR="009800EB" w:rsidRDefault="000D62AA" w:rsidP="000D62AA">
      <w:pPr>
        <w:pStyle w:val="ae"/>
        <w:numPr>
          <w:ilvl w:val="0"/>
          <w:numId w:val="2"/>
        </w:numPr>
        <w:spacing w:after="120" w:line="360" w:lineRule="auto"/>
        <w:ind w:left="567" w:hanging="567"/>
        <w:contextualSpacing w:val="0"/>
        <w:jc w:val="both"/>
      </w:pPr>
      <w:r>
        <w:rPr>
          <w:rFonts w:hint="cs"/>
          <w:rtl/>
        </w:rPr>
        <w:t>האיש טען, כי יש להורות על השבה או חלוקה זהב שניתן לאישה במהלך חיי הנשואין</w:t>
      </w:r>
      <w:r w:rsidR="009800EB">
        <w:rPr>
          <w:rFonts w:hint="cs"/>
          <w:rtl/>
        </w:rPr>
        <w:t xml:space="preserve"> בשווי כולל של 112,000 ש"ח</w:t>
      </w:r>
      <w:r>
        <w:rPr>
          <w:rFonts w:hint="cs"/>
          <w:rtl/>
        </w:rPr>
        <w:t xml:space="preserve">. </w:t>
      </w:r>
    </w:p>
    <w:p w:rsidR="000D62AA" w:rsidRDefault="000D62AA" w:rsidP="009800EB">
      <w:pPr>
        <w:pStyle w:val="ae"/>
        <w:spacing w:after="120" w:line="360" w:lineRule="auto"/>
        <w:ind w:left="567"/>
        <w:contextualSpacing w:val="0"/>
        <w:jc w:val="both"/>
      </w:pPr>
      <w:r>
        <w:rPr>
          <w:rFonts w:hint="cs"/>
          <w:rtl/>
        </w:rPr>
        <w:t xml:space="preserve">האיש העיד, כי חסך כספים בתקופה של פני האירוסין ומכספי החסכונות קנה לאישה זהב וכן הביא מתנות שאמו הביאה לו (עמ' 38, ש' 34-29). האיש עמד על כך שמדובר ברכוש משותף ולא במתנה (עמ' 39, ש' 6-1). </w:t>
      </w:r>
    </w:p>
    <w:p w:rsidR="009800EB" w:rsidRDefault="000D62AA" w:rsidP="009800EB">
      <w:pPr>
        <w:pStyle w:val="ae"/>
        <w:numPr>
          <w:ilvl w:val="0"/>
          <w:numId w:val="2"/>
        </w:numPr>
        <w:spacing w:after="120" w:line="360" w:lineRule="auto"/>
        <w:ind w:left="567" w:hanging="567"/>
        <w:contextualSpacing w:val="0"/>
        <w:jc w:val="both"/>
      </w:pPr>
      <w:r>
        <w:rPr>
          <w:rFonts w:hint="cs"/>
          <w:rtl/>
        </w:rPr>
        <w:t xml:space="preserve">ראשית, מעדות האיש </w:t>
      </w:r>
      <w:r w:rsidR="009800EB">
        <w:rPr>
          <w:rFonts w:hint="cs"/>
          <w:rtl/>
        </w:rPr>
        <w:t xml:space="preserve">כאמור </w:t>
      </w:r>
      <w:r>
        <w:rPr>
          <w:rFonts w:hint="cs"/>
          <w:rtl/>
        </w:rPr>
        <w:t xml:space="preserve">עולה כי מדובר בזהב שהוענק במתנה, כך שלא מדובר ברכוש שנכנס למסת </w:t>
      </w:r>
      <w:r w:rsidR="009800EB">
        <w:rPr>
          <w:rFonts w:hint="cs"/>
          <w:rtl/>
        </w:rPr>
        <w:t>הנכסים לאיזון ואף לא ברכוש משותף;</w:t>
      </w:r>
      <w:r>
        <w:rPr>
          <w:rFonts w:hint="cs"/>
          <w:rtl/>
        </w:rPr>
        <w:t xml:space="preserve"> אולם מעבר לכך, האיש לא הוכיח את שווי הזהב הנטען, את קיומו, לא טען דבר לגבי מועד הרכישה או מועד ההענקה. </w:t>
      </w:r>
    </w:p>
    <w:p w:rsidR="009E3FBB" w:rsidRDefault="000D62AA" w:rsidP="009800EB">
      <w:pPr>
        <w:pStyle w:val="ae"/>
        <w:spacing w:after="120" w:line="360" w:lineRule="auto"/>
        <w:ind w:left="567"/>
        <w:contextualSpacing w:val="0"/>
        <w:jc w:val="both"/>
      </w:pPr>
      <w:r>
        <w:rPr>
          <w:rFonts w:hint="cs"/>
          <w:rtl/>
        </w:rPr>
        <w:t>מעבר להעדר הפירוט והחסר במידע, ולו מינימלי, הנדרש ל</w:t>
      </w:r>
      <w:r w:rsidR="009E3FBB">
        <w:rPr>
          <w:rFonts w:hint="cs"/>
          <w:rtl/>
        </w:rPr>
        <w:t>שם בירור הטענה, מעבר לכך שלא הוצג</w:t>
      </w:r>
      <w:r>
        <w:rPr>
          <w:rFonts w:hint="cs"/>
          <w:rtl/>
        </w:rPr>
        <w:t xml:space="preserve"> הנימוק המשפטי המבסס את הטענה כי על אף שנטען שמדובר במתנה שניתנה לאישה יש להורות על חלוקה ויש להתייחס לזהב כאל רכוש המהווה חלק מנכסי האיזון</w:t>
      </w:r>
      <w:r w:rsidR="009800EB">
        <w:rPr>
          <w:rFonts w:hint="cs"/>
          <w:rtl/>
        </w:rPr>
        <w:t xml:space="preserve"> -</w:t>
      </w:r>
      <w:r>
        <w:rPr>
          <w:rFonts w:hint="cs"/>
          <w:rtl/>
        </w:rPr>
        <w:t xml:space="preserve"> האיש גם לא עמד על בירור עובדתי של הענין </w:t>
      </w:r>
      <w:r w:rsidR="009800EB">
        <w:rPr>
          <w:rFonts w:hint="cs"/>
          <w:rtl/>
        </w:rPr>
        <w:t>-</w:t>
      </w:r>
      <w:r>
        <w:rPr>
          <w:rFonts w:hint="cs"/>
          <w:rtl/>
        </w:rPr>
        <w:t xml:space="preserve"> לא</w:t>
      </w:r>
      <w:r w:rsidR="009E3FBB">
        <w:rPr>
          <w:rFonts w:hint="cs"/>
          <w:rtl/>
        </w:rPr>
        <w:t xml:space="preserve"> הציג ראיות ולא חקר את האישה בענין זה.</w:t>
      </w:r>
    </w:p>
    <w:p w:rsidR="009E3FBB" w:rsidRDefault="009E3FBB" w:rsidP="009800EB">
      <w:pPr>
        <w:pStyle w:val="ae"/>
        <w:spacing w:after="120" w:line="360" w:lineRule="auto"/>
        <w:ind w:left="567"/>
        <w:contextualSpacing w:val="0"/>
        <w:jc w:val="both"/>
      </w:pPr>
      <w:r>
        <w:rPr>
          <w:rFonts w:hint="cs"/>
          <w:rtl/>
        </w:rPr>
        <w:t xml:space="preserve">על כן, בהעדר ראיות להוכחת הנטען ולאור כלליות הטענה </w:t>
      </w:r>
      <w:r w:rsidR="009800EB">
        <w:rPr>
          <w:rFonts w:hint="cs"/>
          <w:rtl/>
        </w:rPr>
        <w:t>-</w:t>
      </w:r>
      <w:r>
        <w:rPr>
          <w:rFonts w:hint="cs"/>
          <w:rtl/>
        </w:rPr>
        <w:t xml:space="preserve"> איני מקבלת את טענות האיש בהקשר זה. </w:t>
      </w:r>
    </w:p>
    <w:p w:rsidR="009E3FBB" w:rsidRPr="009E3FBB" w:rsidRDefault="009E3FBB" w:rsidP="009E3FBB">
      <w:pPr>
        <w:spacing w:after="120" w:line="360" w:lineRule="auto"/>
        <w:jc w:val="both"/>
        <w:rPr>
          <w:b/>
          <w:bCs/>
          <w:u w:val="single"/>
          <w:rtl/>
        </w:rPr>
      </w:pPr>
      <w:r w:rsidRPr="009E3FBB">
        <w:rPr>
          <w:rFonts w:hint="cs"/>
          <w:b/>
          <w:bCs/>
          <w:rtl/>
        </w:rPr>
        <w:t>א.</w:t>
      </w:r>
      <w:r>
        <w:rPr>
          <w:rFonts w:hint="cs"/>
          <w:b/>
          <w:bCs/>
          <w:rtl/>
        </w:rPr>
        <w:t>5</w:t>
      </w:r>
      <w:r w:rsidRPr="009E3FBB">
        <w:rPr>
          <w:rFonts w:hint="cs"/>
          <w:b/>
          <w:bCs/>
          <w:rtl/>
        </w:rPr>
        <w:t xml:space="preserve">.2.5 </w:t>
      </w:r>
      <w:r w:rsidRPr="009E3FBB">
        <w:rPr>
          <w:rFonts w:hint="cs"/>
          <w:b/>
          <w:bCs/>
          <w:u w:val="single"/>
          <w:rtl/>
        </w:rPr>
        <w:t xml:space="preserve">טענות בענין </w:t>
      </w:r>
      <w:r>
        <w:rPr>
          <w:rFonts w:hint="cs"/>
          <w:b/>
          <w:bCs/>
          <w:u w:val="single"/>
          <w:rtl/>
        </w:rPr>
        <w:t>חלוקת המטלטלין</w:t>
      </w:r>
    </w:p>
    <w:p w:rsidR="009E3FBB" w:rsidRDefault="009E3FBB" w:rsidP="000D62AA">
      <w:pPr>
        <w:pStyle w:val="ae"/>
        <w:numPr>
          <w:ilvl w:val="0"/>
          <w:numId w:val="2"/>
        </w:numPr>
        <w:spacing w:after="120" w:line="360" w:lineRule="auto"/>
        <w:ind w:left="567" w:hanging="567"/>
        <w:contextualSpacing w:val="0"/>
        <w:jc w:val="both"/>
      </w:pPr>
      <w:r>
        <w:rPr>
          <w:rFonts w:hint="cs"/>
          <w:rtl/>
        </w:rPr>
        <w:t xml:space="preserve">ראשית אציין, כי שווי הרכבים נלקח בחשבון במסגרת הקביעות בחוות הדעת. </w:t>
      </w:r>
    </w:p>
    <w:p w:rsidR="009800EB" w:rsidRDefault="009E3FBB" w:rsidP="000D62AA">
      <w:pPr>
        <w:pStyle w:val="ae"/>
        <w:numPr>
          <w:ilvl w:val="0"/>
          <w:numId w:val="2"/>
        </w:numPr>
        <w:spacing w:after="120" w:line="360" w:lineRule="auto"/>
        <w:ind w:left="567" w:hanging="567"/>
        <w:contextualSpacing w:val="0"/>
        <w:jc w:val="both"/>
      </w:pPr>
      <w:r>
        <w:rPr>
          <w:rFonts w:hint="cs"/>
          <w:rtl/>
        </w:rPr>
        <w:t>האיש טען לחלוקת המטלטלין שצברו הצדדים משך חיי הנשואין ואולם לא פורט מהם הנכסים אותם מבוקש לחלק, לא פ</w:t>
      </w:r>
      <w:r w:rsidR="00BC6CDC">
        <w:rPr>
          <w:rFonts w:hint="cs"/>
          <w:rtl/>
        </w:rPr>
        <w:t xml:space="preserve">ורט שווי מוערך ולא מנגנון אפשרי לביצוע החלוקה. </w:t>
      </w:r>
    </w:p>
    <w:p w:rsidR="009800EB" w:rsidRDefault="00BC6CDC" w:rsidP="009800EB">
      <w:pPr>
        <w:pStyle w:val="ae"/>
        <w:spacing w:after="120" w:line="360" w:lineRule="auto"/>
        <w:ind w:left="567"/>
        <w:contextualSpacing w:val="0"/>
        <w:jc w:val="both"/>
        <w:rPr>
          <w:rtl/>
        </w:rPr>
      </w:pPr>
      <w:r>
        <w:rPr>
          <w:rFonts w:hint="cs"/>
          <w:rtl/>
        </w:rPr>
        <w:t xml:space="preserve">באופן כזה לא ניתן לדון באופן ענייני בטענה ולא ניתן להורות על החלוקה (בעין או בשווי) מבלי שנטען ההיקף והפירוט ומבלי שנטען ביחס לשווי. </w:t>
      </w:r>
    </w:p>
    <w:p w:rsidR="00BC6CDC" w:rsidRDefault="00BC6CDC" w:rsidP="009800EB">
      <w:pPr>
        <w:pStyle w:val="ae"/>
        <w:spacing w:after="120" w:line="360" w:lineRule="auto"/>
        <w:ind w:left="567"/>
        <w:contextualSpacing w:val="0"/>
        <w:jc w:val="both"/>
      </w:pPr>
      <w:r>
        <w:rPr>
          <w:rFonts w:hint="cs"/>
          <w:rtl/>
        </w:rPr>
        <w:lastRenderedPageBreak/>
        <w:t xml:space="preserve">באי כח הצדדים יסייעו לצדדים בביצוע החלוקה על ידי עריכת שתי רשימות ציוד על ידי צד אחד ובחירת אחת הרשימות על ידי צד שני. בהעדר הסכמה בענין זה תוך 30 ימים ניתן יהיה להגיש בקשה, אשר תשקל, למינוי כונס שיקבל הוראות בענין תפיסת נכסי מטלטלין ומכירתם. </w:t>
      </w:r>
    </w:p>
    <w:p w:rsidR="008A0240" w:rsidRPr="00BC6CDC" w:rsidRDefault="00BC6CDC" w:rsidP="009800EB">
      <w:pPr>
        <w:spacing w:after="120" w:line="360" w:lineRule="auto"/>
        <w:ind w:left="567" w:hanging="567"/>
        <w:jc w:val="both"/>
        <w:rPr>
          <w:b/>
          <w:bCs/>
          <w:sz w:val="26"/>
          <w:szCs w:val="26"/>
          <w:u w:val="single"/>
        </w:rPr>
      </w:pPr>
      <w:r w:rsidRPr="00BC6CDC">
        <w:rPr>
          <w:rFonts w:hint="cs"/>
          <w:b/>
          <w:bCs/>
          <w:sz w:val="26"/>
          <w:szCs w:val="26"/>
          <w:rtl/>
        </w:rPr>
        <w:t>ב.</w:t>
      </w:r>
      <w:r w:rsidRPr="00BC6CDC">
        <w:rPr>
          <w:rFonts w:hint="cs"/>
          <w:b/>
          <w:bCs/>
          <w:sz w:val="26"/>
          <w:szCs w:val="26"/>
          <w:rtl/>
        </w:rPr>
        <w:tab/>
      </w:r>
      <w:r w:rsidR="00BC2F89" w:rsidRPr="00BC6CDC">
        <w:rPr>
          <w:rFonts w:hint="cs"/>
          <w:b/>
          <w:bCs/>
          <w:sz w:val="26"/>
          <w:szCs w:val="26"/>
          <w:u w:val="single"/>
          <w:rtl/>
        </w:rPr>
        <w:t>התביעה לפינוי מושכר</w:t>
      </w:r>
    </w:p>
    <w:p w:rsidR="00BC2F89" w:rsidRPr="00BC2F89" w:rsidRDefault="00BC2F89" w:rsidP="00F67600">
      <w:pPr>
        <w:pStyle w:val="ae"/>
        <w:numPr>
          <w:ilvl w:val="0"/>
          <w:numId w:val="2"/>
        </w:numPr>
        <w:spacing w:after="120" w:line="360" w:lineRule="auto"/>
        <w:ind w:left="567" w:hanging="567"/>
        <w:contextualSpacing w:val="0"/>
        <w:jc w:val="both"/>
      </w:pPr>
      <w:r>
        <w:rPr>
          <w:rFonts w:hint="cs"/>
          <w:rtl/>
        </w:rPr>
        <w:t>כאמור, בתביעה לפינוי מושכר תובע האב את פינויה של האישה מנכס המקרקעין.</w:t>
      </w:r>
      <w:r w:rsidR="00F67600">
        <w:rPr>
          <w:rFonts w:hint="cs"/>
          <w:rtl/>
        </w:rPr>
        <w:t xml:space="preserve"> אציין, כי לא מדובר בפינוי מושכר, שכן הנכס מעולם לא הושכר לאיש ולאישה והרשיון שניתן - היה ללא תמורה. אין בכך כדי לשנות את הסעד במהותו - פינוי האישה מהנכס. </w:t>
      </w:r>
    </w:p>
    <w:p w:rsidR="00BC2F89" w:rsidRPr="00BC2F89" w:rsidRDefault="00BC2F89" w:rsidP="00BC2F89">
      <w:pPr>
        <w:spacing w:after="120" w:line="360" w:lineRule="auto"/>
        <w:ind w:left="567" w:hanging="567"/>
        <w:jc w:val="both"/>
        <w:rPr>
          <w:b/>
          <w:bCs/>
          <w:sz w:val="26"/>
          <w:szCs w:val="26"/>
          <w:u w:val="single"/>
        </w:rPr>
      </w:pPr>
      <w:r w:rsidRPr="00BC2F89">
        <w:rPr>
          <w:rFonts w:hint="cs"/>
          <w:b/>
          <w:bCs/>
          <w:sz w:val="26"/>
          <w:szCs w:val="26"/>
          <w:rtl/>
        </w:rPr>
        <w:t xml:space="preserve">ב.1. </w:t>
      </w:r>
      <w:r w:rsidRPr="00BC2F89">
        <w:rPr>
          <w:b/>
          <w:bCs/>
          <w:sz w:val="26"/>
          <w:szCs w:val="26"/>
          <w:rtl/>
        </w:rPr>
        <w:tab/>
      </w:r>
      <w:r>
        <w:rPr>
          <w:rFonts w:hint="cs"/>
          <w:b/>
          <w:bCs/>
          <w:sz w:val="26"/>
          <w:szCs w:val="26"/>
          <w:u w:val="single"/>
          <w:rtl/>
        </w:rPr>
        <w:t>טענות הצדדים</w:t>
      </w:r>
    </w:p>
    <w:p w:rsidR="00994EC7" w:rsidRPr="00994EC7" w:rsidRDefault="00994EC7" w:rsidP="00BC2F89">
      <w:pPr>
        <w:pStyle w:val="ae"/>
        <w:numPr>
          <w:ilvl w:val="0"/>
          <w:numId w:val="2"/>
        </w:numPr>
        <w:spacing w:after="120" w:line="360" w:lineRule="auto"/>
        <w:ind w:left="567" w:hanging="567"/>
        <w:contextualSpacing w:val="0"/>
        <w:jc w:val="both"/>
        <w:rPr>
          <w:b/>
          <w:bCs/>
          <w:u w:val="single"/>
        </w:rPr>
      </w:pPr>
      <w:r w:rsidRPr="00994EC7">
        <w:rPr>
          <w:rFonts w:hint="cs"/>
          <w:b/>
          <w:bCs/>
          <w:u w:val="single"/>
          <w:rtl/>
        </w:rPr>
        <w:t>טענות האב, התובע:</w:t>
      </w:r>
    </w:p>
    <w:p w:rsidR="00BC2F89" w:rsidRDefault="00BC2F89" w:rsidP="00994EC7">
      <w:pPr>
        <w:pStyle w:val="ae"/>
        <w:spacing w:after="120" w:line="360" w:lineRule="auto"/>
        <w:ind w:left="567"/>
        <w:contextualSpacing w:val="0"/>
        <w:jc w:val="both"/>
      </w:pPr>
      <w:r>
        <w:rPr>
          <w:rFonts w:hint="cs"/>
          <w:rtl/>
        </w:rPr>
        <w:t xml:space="preserve">לטענת האב, נכס המקרקעין הוקם על ידיו, במימונו ומכספו הפרטי בסוף שנות התשעים ותחילת שנות האלפיים. </w:t>
      </w:r>
    </w:p>
    <w:p w:rsidR="00BC2F89" w:rsidRDefault="00BC2F89" w:rsidP="00BC2F89">
      <w:pPr>
        <w:pStyle w:val="ae"/>
        <w:spacing w:after="120" w:line="360" w:lineRule="auto"/>
        <w:ind w:left="567"/>
        <w:contextualSpacing w:val="0"/>
        <w:jc w:val="both"/>
        <w:rPr>
          <w:rtl/>
        </w:rPr>
      </w:pPr>
      <w:r>
        <w:rPr>
          <w:rFonts w:hint="cs"/>
          <w:rtl/>
        </w:rPr>
        <w:t>בניית הנכס הסתיימה טרם הה</w:t>
      </w:r>
      <w:r w:rsidR="009800EB">
        <w:rPr>
          <w:rFonts w:hint="cs"/>
          <w:rtl/>
        </w:rPr>
        <w:t>יכ</w:t>
      </w:r>
      <w:r>
        <w:rPr>
          <w:rFonts w:hint="cs"/>
          <w:rtl/>
        </w:rPr>
        <w:t xml:space="preserve">רות בין האיש והאישה וטרם נישואיהם. </w:t>
      </w:r>
    </w:p>
    <w:p w:rsidR="00BC2F89" w:rsidRDefault="00BC2F89" w:rsidP="00BC2F89">
      <w:pPr>
        <w:pStyle w:val="ae"/>
        <w:spacing w:after="120" w:line="360" w:lineRule="auto"/>
        <w:ind w:left="567"/>
        <w:contextualSpacing w:val="0"/>
        <w:jc w:val="both"/>
        <w:rPr>
          <w:rtl/>
        </w:rPr>
      </w:pPr>
      <w:r>
        <w:rPr>
          <w:rFonts w:hint="cs"/>
          <w:rtl/>
        </w:rPr>
        <w:t xml:space="preserve">מתחילת שנת 2002 ועד לאמצע שנת 2020 התגוררו האישה והאיש בנכס באישורו, הרשאתו ורשותו של האב, כאשר מגוריהם בנכס הם כברי רשות לכל היותר. </w:t>
      </w:r>
      <w:r w:rsidR="00F12EAB">
        <w:rPr>
          <w:rFonts w:hint="cs"/>
          <w:rtl/>
        </w:rPr>
        <w:t xml:space="preserve">הרשות להתגורר בנכס ניתנה מתוך רצון כן ואמיתי לעזור לבני המשפחה ולא נגבו מעולם דמי שכירות. </w:t>
      </w:r>
    </w:p>
    <w:p w:rsidR="00F12EAB" w:rsidRDefault="00F12EAB" w:rsidP="00BC2F89">
      <w:pPr>
        <w:pStyle w:val="ae"/>
        <w:spacing w:after="120" w:line="360" w:lineRule="auto"/>
        <w:ind w:left="567"/>
        <w:contextualSpacing w:val="0"/>
        <w:jc w:val="both"/>
        <w:rPr>
          <w:rtl/>
        </w:rPr>
      </w:pPr>
      <w:r>
        <w:rPr>
          <w:rFonts w:hint="cs"/>
          <w:rtl/>
        </w:rPr>
        <w:t xml:space="preserve">בחודש מאי 2020 עשתה האישה דין לעצמה והחליף את מנעולי הכניסה לבית ומנעה מהאיש להכנס לבית וממועד זה ועד עתה מחזיקה האישה בנכס שלא כדין ומבלי שהיא נושאת בתשלום כלשהו. </w:t>
      </w:r>
    </w:p>
    <w:p w:rsidR="00994EC7" w:rsidRDefault="00994EC7" w:rsidP="00BC2F89">
      <w:pPr>
        <w:pStyle w:val="ae"/>
        <w:spacing w:after="120" w:line="360" w:lineRule="auto"/>
        <w:ind w:left="567"/>
        <w:contextualSpacing w:val="0"/>
        <w:jc w:val="both"/>
        <w:rPr>
          <w:rtl/>
        </w:rPr>
      </w:pPr>
      <w:r>
        <w:rPr>
          <w:rFonts w:hint="cs"/>
          <w:rtl/>
        </w:rPr>
        <w:t xml:space="preserve">עם גירושי האיש והאישה, ביום 26.10.2020, הודיע האב לאישה שעליה לפנות את הנכס שבבעלותו הואיל והרשות שניתנה לה להתגורר בנכס בוטלה והיא בבחינתמשיגת גבול אולם האישה סירבה לפנות את הנכס ומכתב פניה בענין (נושא תאריך 17.11.2020) לא הועיל. </w:t>
      </w:r>
    </w:p>
    <w:p w:rsidR="00BC6CDC" w:rsidRDefault="00BC6CDC" w:rsidP="00BC6CDC">
      <w:pPr>
        <w:pStyle w:val="ae"/>
        <w:numPr>
          <w:ilvl w:val="0"/>
          <w:numId w:val="2"/>
        </w:numPr>
        <w:spacing w:after="120" w:line="360" w:lineRule="auto"/>
        <w:ind w:left="567" w:hanging="567"/>
        <w:contextualSpacing w:val="0"/>
        <w:jc w:val="both"/>
        <w:rPr>
          <w:b/>
          <w:bCs/>
          <w:u w:val="single"/>
        </w:rPr>
      </w:pPr>
      <w:r w:rsidRPr="00BC6CDC">
        <w:rPr>
          <w:rFonts w:hint="cs"/>
          <w:b/>
          <w:bCs/>
          <w:u w:val="single"/>
          <w:rtl/>
        </w:rPr>
        <w:t>טענות האישה, הנתבעת:</w:t>
      </w:r>
    </w:p>
    <w:p w:rsidR="00BC6CDC" w:rsidRDefault="00806FBB" w:rsidP="00806FBB">
      <w:pPr>
        <w:pStyle w:val="ae"/>
        <w:spacing w:after="120" w:line="360" w:lineRule="auto"/>
        <w:ind w:left="567"/>
        <w:contextualSpacing w:val="0"/>
        <w:jc w:val="both"/>
        <w:rPr>
          <w:rtl/>
        </w:rPr>
      </w:pPr>
      <w:r>
        <w:rPr>
          <w:rFonts w:hint="cs"/>
          <w:rtl/>
        </w:rPr>
        <w:t xml:space="preserve">האיש והאישה התגוררו בנכס משך 18 שנים ועשתה כל שאפשר בכדי לבסס תא משפחתי חזק ואיתן. </w:t>
      </w:r>
    </w:p>
    <w:p w:rsidR="00806FBB" w:rsidRDefault="00806FBB" w:rsidP="00806FBB">
      <w:pPr>
        <w:pStyle w:val="ae"/>
        <w:spacing w:after="120" w:line="360" w:lineRule="auto"/>
        <w:ind w:left="567"/>
        <w:contextualSpacing w:val="0"/>
        <w:jc w:val="both"/>
        <w:rPr>
          <w:rtl/>
        </w:rPr>
      </w:pPr>
      <w:r>
        <w:rPr>
          <w:rFonts w:hint="cs"/>
          <w:rtl/>
        </w:rPr>
        <w:t xml:space="preserve">הנכס נרשם על שם האב רק ביום 22.9.2020 וזאת על אף שלאישה זכויות קנייניות ו/או רכושיות ו/או כספיות מכח הדין וההלכה. מאחר והנכס יועד לה ולאיש ומאחר והבניה בוצעה במטרה להעניק להם נכס לכל חייהם, ככל שמבוקש פינויה, יש להתנות את הפינוי בפיצוי שמקורו באינטרס ההסתמכות. </w:t>
      </w:r>
    </w:p>
    <w:p w:rsidR="00806FBB" w:rsidRDefault="00806FBB" w:rsidP="00712BB0">
      <w:pPr>
        <w:spacing w:after="120" w:line="360" w:lineRule="auto"/>
        <w:ind w:left="567" w:hanging="567"/>
        <w:jc w:val="both"/>
        <w:rPr>
          <w:b/>
          <w:bCs/>
          <w:sz w:val="26"/>
          <w:szCs w:val="26"/>
          <w:u w:val="single"/>
          <w:rtl/>
        </w:rPr>
      </w:pPr>
      <w:r w:rsidRPr="00BC2F89">
        <w:rPr>
          <w:rFonts w:hint="cs"/>
          <w:b/>
          <w:bCs/>
          <w:sz w:val="26"/>
          <w:szCs w:val="26"/>
          <w:rtl/>
        </w:rPr>
        <w:lastRenderedPageBreak/>
        <w:t>ב.</w:t>
      </w:r>
      <w:r w:rsidR="00712BB0">
        <w:rPr>
          <w:rFonts w:hint="cs"/>
          <w:b/>
          <w:bCs/>
          <w:sz w:val="26"/>
          <w:szCs w:val="26"/>
          <w:rtl/>
        </w:rPr>
        <w:t>2</w:t>
      </w:r>
      <w:r w:rsidRPr="00BC2F89">
        <w:rPr>
          <w:rFonts w:hint="cs"/>
          <w:b/>
          <w:bCs/>
          <w:sz w:val="26"/>
          <w:szCs w:val="26"/>
          <w:rtl/>
        </w:rPr>
        <w:t xml:space="preserve">. </w:t>
      </w:r>
      <w:r w:rsidRPr="00BC2F89">
        <w:rPr>
          <w:b/>
          <w:bCs/>
          <w:sz w:val="26"/>
          <w:szCs w:val="26"/>
          <w:rtl/>
        </w:rPr>
        <w:tab/>
      </w:r>
      <w:r w:rsidR="00712BB0">
        <w:rPr>
          <w:rFonts w:hint="cs"/>
          <w:b/>
          <w:bCs/>
          <w:sz w:val="26"/>
          <w:szCs w:val="26"/>
          <w:u w:val="single"/>
          <w:rtl/>
        </w:rPr>
        <w:t>הכרעה</w:t>
      </w:r>
    </w:p>
    <w:p w:rsidR="00712BB0" w:rsidRDefault="00712BB0" w:rsidP="00712BB0">
      <w:pPr>
        <w:pStyle w:val="ae"/>
        <w:numPr>
          <w:ilvl w:val="0"/>
          <w:numId w:val="2"/>
        </w:numPr>
        <w:spacing w:after="120" w:line="360" w:lineRule="auto"/>
        <w:ind w:left="567" w:hanging="567"/>
        <w:contextualSpacing w:val="0"/>
        <w:jc w:val="both"/>
      </w:pPr>
      <w:r>
        <w:rPr>
          <w:rFonts w:hint="cs"/>
          <w:rtl/>
        </w:rPr>
        <w:t>כאמור</w:t>
      </w:r>
      <w:r w:rsidR="00911324">
        <w:rPr>
          <w:rFonts w:hint="cs"/>
          <w:rtl/>
        </w:rPr>
        <w:t>, האישה לא הציגה ראיה לכך שהוקנו לה ולאיש זכויות בעלות בנכס (במובחן מזכות מגורים); האישה לא הציגה ראיה ל</w:t>
      </w:r>
      <w:r w:rsidR="00FF16E0">
        <w:rPr>
          <w:rFonts w:hint="cs"/>
          <w:rtl/>
        </w:rPr>
        <w:t xml:space="preserve">השקעה שלה ושל האיש בנכס ואף לא הוצגו ראיות להסתמכות על מצג שהוצג. </w:t>
      </w:r>
    </w:p>
    <w:p w:rsidR="00B1426F" w:rsidRDefault="00FF16E0" w:rsidP="009800EB">
      <w:pPr>
        <w:pStyle w:val="ae"/>
        <w:numPr>
          <w:ilvl w:val="0"/>
          <w:numId w:val="2"/>
        </w:numPr>
        <w:spacing w:after="120" w:line="360" w:lineRule="auto"/>
        <w:ind w:left="567" w:hanging="567"/>
        <w:contextualSpacing w:val="0"/>
        <w:jc w:val="both"/>
      </w:pPr>
      <w:r>
        <w:rPr>
          <w:rFonts w:hint="cs"/>
          <w:rtl/>
        </w:rPr>
        <w:t xml:space="preserve">טענות </w:t>
      </w:r>
      <w:r w:rsidR="009800EB">
        <w:rPr>
          <w:rFonts w:hint="cs"/>
          <w:rtl/>
        </w:rPr>
        <w:t xml:space="preserve">האב </w:t>
      </w:r>
      <w:r>
        <w:rPr>
          <w:rFonts w:hint="cs"/>
          <w:rtl/>
        </w:rPr>
        <w:t>בדבר מתן רשות מגורים</w:t>
      </w:r>
      <w:r w:rsidR="009800EB">
        <w:rPr>
          <w:rFonts w:hint="cs"/>
          <w:rtl/>
        </w:rPr>
        <w:t xml:space="preserve"> (</w:t>
      </w:r>
      <w:r w:rsidR="00E63E84">
        <w:rPr>
          <w:rFonts w:hint="cs"/>
          <w:rtl/>
        </w:rPr>
        <w:t xml:space="preserve">רישיון במקרקעין, </w:t>
      </w:r>
      <w:r w:rsidR="009800EB">
        <w:rPr>
          <w:rFonts w:hint="cs"/>
          <w:rtl/>
        </w:rPr>
        <w:t>במובחן מזכות בעלות)</w:t>
      </w:r>
      <w:r>
        <w:rPr>
          <w:rFonts w:hint="cs"/>
          <w:rtl/>
        </w:rPr>
        <w:t xml:space="preserve"> לא הופרכו ולא הוצגה תשתית משפטית או עובדתית מספקת כדי לסתור את חזקת הרישום באופן שמקנה לאישה זכויות </w:t>
      </w:r>
      <w:r w:rsidR="00B1426F">
        <w:rPr>
          <w:rFonts w:hint="cs"/>
          <w:rtl/>
        </w:rPr>
        <w:t>בעלות.</w:t>
      </w:r>
    </w:p>
    <w:p w:rsidR="00B1426F" w:rsidRDefault="00B1426F" w:rsidP="00712BB0">
      <w:pPr>
        <w:pStyle w:val="ae"/>
        <w:numPr>
          <w:ilvl w:val="0"/>
          <w:numId w:val="2"/>
        </w:numPr>
        <w:spacing w:after="120" w:line="360" w:lineRule="auto"/>
        <w:ind w:left="567" w:hanging="567"/>
        <w:contextualSpacing w:val="0"/>
        <w:jc w:val="both"/>
      </w:pPr>
      <w:r>
        <w:rPr>
          <w:rFonts w:hint="cs"/>
          <w:rtl/>
        </w:rPr>
        <w:t xml:space="preserve">כאמור, גם מעדויות העדים מטעמה של האישה עולה, כי הוצג מצג בדבר קיומו של נכס לשימוש בני הזוג ולא </w:t>
      </w:r>
      <w:r w:rsidR="00E63E84">
        <w:rPr>
          <w:rFonts w:hint="cs"/>
          <w:rtl/>
        </w:rPr>
        <w:t>הוכח ש</w:t>
      </w:r>
      <w:r>
        <w:rPr>
          <w:rFonts w:hint="cs"/>
          <w:rtl/>
        </w:rPr>
        <w:t xml:space="preserve">הוצג מצג ברור של הקניית זכות בעלות. </w:t>
      </w:r>
    </w:p>
    <w:p w:rsidR="00B1426F" w:rsidRPr="00B1426F" w:rsidRDefault="00B1426F" w:rsidP="00B1426F">
      <w:pPr>
        <w:pStyle w:val="ae"/>
        <w:numPr>
          <w:ilvl w:val="0"/>
          <w:numId w:val="2"/>
        </w:numPr>
        <w:spacing w:after="120" w:line="360" w:lineRule="auto"/>
        <w:ind w:left="567" w:hanging="567"/>
        <w:contextualSpacing w:val="0"/>
        <w:jc w:val="both"/>
        <w:rPr>
          <w:rFonts w:ascii="David" w:hAnsi="David"/>
          <w:u w:val="single"/>
        </w:rPr>
      </w:pPr>
      <w:r w:rsidRPr="00B1426F">
        <w:rPr>
          <w:rFonts w:ascii="David" w:hAnsi="David"/>
          <w:rtl/>
        </w:rPr>
        <w:t>היתר שניתן על ידי בעל המקרקעין להחזיק או לעשות שימוש בנכס מבלי להקנות זכויות בנכס עצמו הוא "</w:t>
      </w:r>
      <w:r w:rsidRPr="00B1426F">
        <w:rPr>
          <w:rFonts w:ascii="David" w:hAnsi="David"/>
          <w:b/>
          <w:bCs/>
          <w:rtl/>
        </w:rPr>
        <w:t xml:space="preserve">רישיון במקרקעין". </w:t>
      </w:r>
      <w:r w:rsidRPr="00B1426F">
        <w:rPr>
          <w:rFonts w:ascii="David" w:hAnsi="David"/>
          <w:rtl/>
        </w:rPr>
        <w:t>מדובר בזכות חוזית שתוכנה, משך קיומה ותנאי סיומה נלמדים מסוג ההסכמות (נינה זלצמן, "</w:t>
      </w:r>
      <w:r w:rsidRPr="00B1426F">
        <w:rPr>
          <w:rFonts w:ascii="David" w:hAnsi="David"/>
          <w:u w:val="single"/>
          <w:rtl/>
        </w:rPr>
        <w:t>רישיון במקרקעין"</w:t>
      </w:r>
      <w:r w:rsidRPr="00B1426F">
        <w:rPr>
          <w:rFonts w:ascii="David" w:hAnsi="David"/>
          <w:rtl/>
        </w:rPr>
        <w:t xml:space="preserve">, </w:t>
      </w:r>
      <w:r w:rsidRPr="00B1426F">
        <w:rPr>
          <w:rFonts w:ascii="David" w:hAnsi="David"/>
          <w:b/>
          <w:bCs/>
          <w:rtl/>
        </w:rPr>
        <w:t xml:space="preserve">הפרקליט מב </w:t>
      </w:r>
      <w:r w:rsidRPr="00B1426F">
        <w:rPr>
          <w:rFonts w:ascii="David" w:hAnsi="David"/>
          <w:rtl/>
        </w:rPr>
        <w:t>(תשנ"ה-תשנ"ו (</w:t>
      </w:r>
      <w:r w:rsidRPr="00B1426F">
        <w:rPr>
          <w:rFonts w:ascii="David" w:hAnsi="David"/>
          <w:b/>
          <w:bCs/>
          <w:rtl/>
        </w:rPr>
        <w:t>"נ. זלצמן"</w:t>
      </w:r>
      <w:r w:rsidRPr="00B1426F">
        <w:rPr>
          <w:rFonts w:ascii="David" w:hAnsi="David"/>
          <w:rtl/>
        </w:rPr>
        <w:t>), בעמ' 24).</w:t>
      </w:r>
    </w:p>
    <w:p w:rsidR="00B1426F" w:rsidRPr="00B1426F" w:rsidRDefault="00B1426F" w:rsidP="009800EB">
      <w:pPr>
        <w:pStyle w:val="ae"/>
        <w:spacing w:after="120" w:line="360" w:lineRule="auto"/>
        <w:ind w:left="567"/>
        <w:contextualSpacing w:val="0"/>
        <w:jc w:val="both"/>
        <w:rPr>
          <w:rFonts w:ascii="David" w:hAnsi="David"/>
          <w:color w:val="000000"/>
          <w:rtl/>
        </w:rPr>
      </w:pPr>
      <w:r w:rsidRPr="00B1426F">
        <w:rPr>
          <w:rFonts w:ascii="David" w:hAnsi="David"/>
          <w:color w:val="000000"/>
          <w:rtl/>
        </w:rPr>
        <w:t>כך, כאשר מתן הרשות נעדרה כוונת הקניית זכויות בנכס, זכויות בני הזוג אשר עשו שימוש בדירת המגורים תואמות את ההגדרה המשפטית של "</w:t>
      </w:r>
      <w:r w:rsidRPr="00B1426F">
        <w:rPr>
          <w:rFonts w:ascii="David" w:hAnsi="David"/>
          <w:b/>
          <w:bCs/>
          <w:color w:val="000000"/>
          <w:rtl/>
        </w:rPr>
        <w:t>בר רשות</w:t>
      </w:r>
      <w:r w:rsidRPr="00B1426F">
        <w:rPr>
          <w:rFonts w:ascii="David" w:hAnsi="David"/>
          <w:color w:val="000000"/>
          <w:rtl/>
        </w:rPr>
        <w:t xml:space="preserve">" (עמ"ש (חי') 4194-10-17‏ ‏ </w:t>
      </w:r>
      <w:r w:rsidRPr="00B1426F">
        <w:rPr>
          <w:rFonts w:ascii="David" w:hAnsi="David"/>
          <w:b/>
          <w:bCs/>
          <w:color w:val="000000"/>
          <w:rtl/>
        </w:rPr>
        <w:t>ע' ח' נ' ר' ח'</w:t>
      </w:r>
      <w:r w:rsidRPr="00B1426F">
        <w:rPr>
          <w:rFonts w:ascii="David" w:hAnsi="David"/>
          <w:color w:val="000000"/>
          <w:rtl/>
        </w:rPr>
        <w:t>‏ (8.1.2019) ("</w:t>
      </w:r>
      <w:r w:rsidRPr="00B1426F">
        <w:rPr>
          <w:rFonts w:ascii="David" w:hAnsi="David"/>
          <w:b/>
          <w:bCs/>
          <w:color w:val="000000"/>
          <w:rtl/>
        </w:rPr>
        <w:t>ענין ע.ח."</w:t>
      </w:r>
      <w:r w:rsidRPr="00B1426F">
        <w:rPr>
          <w:rFonts w:ascii="David" w:hAnsi="David"/>
          <w:color w:val="000000"/>
          <w:rtl/>
        </w:rPr>
        <w:t>)).</w:t>
      </w:r>
    </w:p>
    <w:p w:rsidR="00B1426F" w:rsidRPr="00B1426F" w:rsidRDefault="00B1426F" w:rsidP="00B1426F">
      <w:pPr>
        <w:spacing w:after="120" w:line="360" w:lineRule="auto"/>
        <w:ind w:left="567"/>
        <w:jc w:val="both"/>
        <w:rPr>
          <w:rFonts w:ascii="David" w:hAnsi="David"/>
          <w:color w:val="000000"/>
          <w:rtl/>
        </w:rPr>
      </w:pPr>
      <w:r w:rsidRPr="00B1426F">
        <w:rPr>
          <w:rFonts w:ascii="David" w:hAnsi="David"/>
          <w:color w:val="000000"/>
          <w:rtl/>
        </w:rPr>
        <w:t>באותו הענין הסתמך בית המשפט על פסיקת בית המשפט העליון וקבע, כי רשות חינם אינה יכולה להיות בלתי הדירה והיא ניתנת לביטול בכל עת.</w:t>
      </w:r>
    </w:p>
    <w:p w:rsidR="00FF16E0" w:rsidRDefault="00B1426F" w:rsidP="009800EB">
      <w:pPr>
        <w:pStyle w:val="ae"/>
        <w:numPr>
          <w:ilvl w:val="0"/>
          <w:numId w:val="2"/>
        </w:numPr>
        <w:spacing w:after="120" w:line="360" w:lineRule="auto"/>
        <w:ind w:left="567" w:hanging="567"/>
        <w:contextualSpacing w:val="0"/>
        <w:jc w:val="both"/>
      </w:pPr>
      <w:r>
        <w:rPr>
          <w:rFonts w:hint="cs"/>
          <w:rtl/>
        </w:rPr>
        <w:t xml:space="preserve">על כן, משעה שקבעתי שלא הוקנו לבני הזוג זכויות בעלות, אלא זכות שימוש במקרקעין </w:t>
      </w:r>
      <w:r w:rsidR="009800EB">
        <w:rPr>
          <w:rFonts w:hint="cs"/>
          <w:rtl/>
        </w:rPr>
        <w:t>-</w:t>
      </w:r>
      <w:r>
        <w:rPr>
          <w:rFonts w:hint="cs"/>
          <w:rtl/>
        </w:rPr>
        <w:t xml:space="preserve"> רשאי האב לבטל את הרשות</w:t>
      </w:r>
      <w:r w:rsidR="00F924B0">
        <w:rPr>
          <w:rFonts w:hint="cs"/>
          <w:rtl/>
        </w:rPr>
        <w:t xml:space="preserve"> שניתנה לשימוש במקרקעין בכל עת. </w:t>
      </w:r>
    </w:p>
    <w:p w:rsidR="00F924B0" w:rsidRPr="009800EB" w:rsidRDefault="00B1426F" w:rsidP="00B1426F">
      <w:pPr>
        <w:pStyle w:val="ae"/>
        <w:spacing w:after="120" w:line="360" w:lineRule="auto"/>
        <w:ind w:left="567"/>
        <w:contextualSpacing w:val="0"/>
        <w:jc w:val="both"/>
        <w:rPr>
          <w:b/>
          <w:bCs/>
          <w:rtl/>
        </w:rPr>
      </w:pPr>
      <w:r>
        <w:rPr>
          <w:rFonts w:hint="cs"/>
          <w:rtl/>
        </w:rPr>
        <w:t>נגזרת של זכות ביטול הרשות לשימוש, היא הזכות לדרוש סילוק יד מהמקרקעין. כלומר, אין בכך שהאב התיר לבני הזוג להתגורר משך</w:t>
      </w:r>
      <w:r w:rsidR="008865B6">
        <w:rPr>
          <w:rFonts w:hint="cs"/>
          <w:rtl/>
        </w:rPr>
        <w:t xml:space="preserve"> שנים רבות בנכס כדי למנוע ממנו לדרוש את</w:t>
      </w:r>
      <w:r w:rsidR="00F924B0">
        <w:rPr>
          <w:rFonts w:hint="cs"/>
          <w:rtl/>
        </w:rPr>
        <w:t xml:space="preserve"> סילוק ידם של האיש והאישה מהנכס ועל כן</w:t>
      </w:r>
      <w:r w:rsidR="00F924B0" w:rsidRPr="009800EB">
        <w:rPr>
          <w:rFonts w:hint="cs"/>
          <w:b/>
          <w:bCs/>
          <w:rtl/>
        </w:rPr>
        <w:t xml:space="preserve">, מתקבלת תביעתו של האב להורות על סילוק ידיה של האישה מהנכס. </w:t>
      </w:r>
    </w:p>
    <w:p w:rsidR="00B1426F" w:rsidRDefault="008865B6" w:rsidP="00B1426F">
      <w:pPr>
        <w:pStyle w:val="ae"/>
        <w:spacing w:after="120" w:line="360" w:lineRule="auto"/>
        <w:ind w:left="567"/>
        <w:contextualSpacing w:val="0"/>
        <w:jc w:val="both"/>
        <w:rPr>
          <w:rtl/>
        </w:rPr>
      </w:pPr>
      <w:r>
        <w:rPr>
          <w:rFonts w:hint="cs"/>
          <w:rtl/>
        </w:rPr>
        <w:t xml:space="preserve"> עם זאת, גם הדרישה לסילוק יד צריכה להיות סבירה, מידתית ומתחשבת במשמעות של מגורים משך שנים רבות בנכס, גידול הילדים בנכס והיכולת למצוא נכס חלופי. </w:t>
      </w:r>
    </w:p>
    <w:p w:rsidR="008865B6" w:rsidRDefault="008865B6" w:rsidP="009763D4">
      <w:pPr>
        <w:pStyle w:val="ae"/>
        <w:numPr>
          <w:ilvl w:val="0"/>
          <w:numId w:val="2"/>
        </w:numPr>
        <w:spacing w:after="120" w:line="360" w:lineRule="auto"/>
        <w:ind w:left="567" w:hanging="567"/>
        <w:contextualSpacing w:val="0"/>
        <w:jc w:val="both"/>
        <w:rPr>
          <w:rtl/>
        </w:rPr>
      </w:pPr>
      <w:r>
        <w:rPr>
          <w:rFonts w:hint="cs"/>
          <w:rtl/>
        </w:rPr>
        <w:t xml:space="preserve">כאשר אני בוחנת את מכלול הנסיבות, </w:t>
      </w:r>
      <w:r w:rsidR="00F924B0">
        <w:rPr>
          <w:rFonts w:hint="cs"/>
          <w:rtl/>
        </w:rPr>
        <w:t xml:space="preserve">את משך הזמן הנדרש לשם הסדרת מדור חלופי לקטינים (בפועל וכן את העלויות), את הצורך בשינויים באורחות החיים והתארגנות בחיי היומיום </w:t>
      </w:r>
      <w:r w:rsidR="00F924B0">
        <w:rPr>
          <w:rFonts w:hint="cs"/>
          <w:rtl/>
        </w:rPr>
        <w:lastRenderedPageBreak/>
        <w:t>למעבר</w:t>
      </w:r>
      <w:r w:rsidR="009763D4">
        <w:rPr>
          <w:rFonts w:hint="cs"/>
          <w:rtl/>
        </w:rPr>
        <w:t>, את הקשיים שיעמדו בפני האישה והצורך להיערך למעבר (בשים לב לכך שהיא אינה עובדת ולא עבדה משך כל שנות הנושאין)</w:t>
      </w:r>
      <w:r w:rsidR="00F924B0">
        <w:rPr>
          <w:rFonts w:hint="cs"/>
          <w:rtl/>
        </w:rPr>
        <w:t xml:space="preserve"> וכאשר שקלתי את משך התקופה בה גרה האישה בנכס, </w:t>
      </w:r>
      <w:r w:rsidR="009763D4">
        <w:rPr>
          <w:rFonts w:hint="cs"/>
          <w:rtl/>
        </w:rPr>
        <w:t xml:space="preserve">את גילם של הקטינים (הצעיר יליד 2015), </w:t>
      </w:r>
      <w:r w:rsidR="00F924B0">
        <w:rPr>
          <w:rFonts w:hint="cs"/>
          <w:rtl/>
        </w:rPr>
        <w:t xml:space="preserve">את המשמעות של המעבר עבור הקטינים ואת ההשלכות של המעבר על שגרת חיי הקטינים </w:t>
      </w:r>
      <w:r w:rsidR="009763D4">
        <w:rPr>
          <w:rFonts w:hint="cs"/>
          <w:rtl/>
        </w:rPr>
        <w:t xml:space="preserve">והרצון לאפשר שהות להכנת הקטינים ועריכת הפעולות הנדרשות - </w:t>
      </w:r>
      <w:r w:rsidR="00F924B0">
        <w:rPr>
          <w:rFonts w:hint="cs"/>
          <w:rtl/>
        </w:rPr>
        <w:t xml:space="preserve">אני מורה כי </w:t>
      </w:r>
      <w:r w:rsidR="00F924B0" w:rsidRPr="009800EB">
        <w:rPr>
          <w:rFonts w:hint="cs"/>
          <w:b/>
          <w:bCs/>
          <w:rtl/>
        </w:rPr>
        <w:t xml:space="preserve">הפינוי יבוצע בפועל </w:t>
      </w:r>
      <w:r w:rsidR="009763D4" w:rsidRPr="009800EB">
        <w:rPr>
          <w:rFonts w:hint="cs"/>
          <w:b/>
          <w:bCs/>
          <w:rtl/>
        </w:rPr>
        <w:t>ביום 31.8.2025, בכדי לאפשר השלמת שנת הלימודים הנוכחית ושנת הלימודים הבאה אחריה.</w:t>
      </w:r>
      <w:r w:rsidR="009763D4">
        <w:rPr>
          <w:rFonts w:hint="cs"/>
          <w:rtl/>
        </w:rPr>
        <w:t xml:space="preserve"> </w:t>
      </w:r>
      <w:r w:rsidR="00F924B0">
        <w:rPr>
          <w:rFonts w:hint="cs"/>
          <w:rtl/>
        </w:rPr>
        <w:t xml:space="preserve"> </w:t>
      </w:r>
    </w:p>
    <w:p w:rsidR="00BC2F89" w:rsidRDefault="0044777A" w:rsidP="009D1D3D">
      <w:pPr>
        <w:pStyle w:val="ae"/>
        <w:numPr>
          <w:ilvl w:val="0"/>
          <w:numId w:val="5"/>
        </w:numPr>
        <w:spacing w:after="120" w:line="360" w:lineRule="auto"/>
        <w:ind w:left="567" w:hanging="567"/>
        <w:jc w:val="both"/>
        <w:rPr>
          <w:b/>
          <w:bCs/>
          <w:sz w:val="26"/>
          <w:szCs w:val="26"/>
          <w:u w:val="single"/>
        </w:rPr>
      </w:pPr>
      <w:r w:rsidRPr="0044777A">
        <w:rPr>
          <w:rFonts w:hint="cs"/>
          <w:b/>
          <w:bCs/>
          <w:sz w:val="26"/>
          <w:szCs w:val="26"/>
          <w:u w:val="single"/>
          <w:rtl/>
        </w:rPr>
        <w:t xml:space="preserve">תביעת האב לתשלום דמי שכירות </w:t>
      </w:r>
    </w:p>
    <w:p w:rsidR="006A04A2" w:rsidRPr="00E124D7" w:rsidRDefault="006A04A2" w:rsidP="00E124D7">
      <w:pPr>
        <w:spacing w:after="120" w:line="360" w:lineRule="auto"/>
        <w:ind w:left="567" w:hanging="567"/>
        <w:jc w:val="both"/>
        <w:rPr>
          <w:b/>
          <w:bCs/>
          <w:u w:val="single"/>
          <w:rtl/>
        </w:rPr>
      </w:pPr>
      <w:r w:rsidRPr="00E124D7">
        <w:rPr>
          <w:rFonts w:hint="cs"/>
          <w:b/>
          <w:bCs/>
          <w:rtl/>
        </w:rPr>
        <w:t>ג.1.</w:t>
      </w:r>
      <w:r w:rsidRPr="00E124D7">
        <w:rPr>
          <w:rFonts w:hint="cs"/>
          <w:b/>
          <w:bCs/>
          <w:rtl/>
        </w:rPr>
        <w:tab/>
      </w:r>
      <w:r w:rsidRPr="00E124D7">
        <w:rPr>
          <w:rFonts w:hint="cs"/>
          <w:b/>
          <w:bCs/>
          <w:u w:val="single"/>
          <w:rtl/>
        </w:rPr>
        <w:t>טענות הצדדים</w:t>
      </w:r>
    </w:p>
    <w:p w:rsidR="00B46F35" w:rsidRDefault="009D1D3D" w:rsidP="009D1D3D">
      <w:pPr>
        <w:pStyle w:val="ae"/>
        <w:numPr>
          <w:ilvl w:val="0"/>
          <w:numId w:val="2"/>
        </w:numPr>
        <w:spacing w:after="120" w:line="360" w:lineRule="auto"/>
        <w:ind w:left="567" w:hanging="567"/>
        <w:contextualSpacing w:val="0"/>
        <w:jc w:val="both"/>
        <w:rPr>
          <w:b/>
          <w:bCs/>
          <w:u w:val="single"/>
        </w:rPr>
      </w:pPr>
      <w:r w:rsidRPr="009D1D3D">
        <w:rPr>
          <w:rFonts w:hint="cs"/>
          <w:b/>
          <w:bCs/>
          <w:u w:val="single"/>
          <w:rtl/>
        </w:rPr>
        <w:t>טענות התובע, האב:</w:t>
      </w:r>
    </w:p>
    <w:p w:rsidR="00743BE9" w:rsidRPr="004B071F" w:rsidRDefault="009D1D3D" w:rsidP="004B071F">
      <w:pPr>
        <w:pStyle w:val="ae"/>
        <w:spacing w:after="120" w:line="360" w:lineRule="auto"/>
        <w:ind w:left="567"/>
        <w:contextualSpacing w:val="0"/>
        <w:jc w:val="both"/>
      </w:pPr>
      <w:r>
        <w:rPr>
          <w:rFonts w:hint="cs"/>
          <w:rtl/>
        </w:rPr>
        <w:t>עד לחודש נובמבר 2020 האיש והאישה התגוררו בנכס בבעלותו של האב ללא תשלום בהי</w:t>
      </w:r>
      <w:r w:rsidRPr="004B071F">
        <w:rPr>
          <w:rFonts w:hint="cs"/>
          <w:rtl/>
        </w:rPr>
        <w:t xml:space="preserve">ות ברי רשות במקרקעין. </w:t>
      </w:r>
    </w:p>
    <w:p w:rsidR="00743BE9" w:rsidRPr="004B071F" w:rsidRDefault="009D1D3D" w:rsidP="00743BE9">
      <w:pPr>
        <w:pStyle w:val="ae"/>
        <w:spacing w:after="120" w:line="360" w:lineRule="auto"/>
        <w:ind w:left="567"/>
        <w:contextualSpacing w:val="0"/>
        <w:jc w:val="both"/>
        <w:rPr>
          <w:rtl/>
        </w:rPr>
      </w:pPr>
      <w:r w:rsidRPr="004B071F">
        <w:rPr>
          <w:rFonts w:hint="cs"/>
          <w:rtl/>
        </w:rPr>
        <w:t xml:space="preserve">בסוף חודש אוקטובר 2010 התגרשו האיש והאישה ומיד לאחר מכן הודיע האב לאישה בעל פה שעליה לפנות את הנכס הואיל והרשות שניתנה לה להתגורר בנכס בוטלה. </w:t>
      </w:r>
    </w:p>
    <w:p w:rsidR="009D1D3D" w:rsidRPr="004B071F" w:rsidRDefault="009D1D3D" w:rsidP="00743BE9">
      <w:pPr>
        <w:pStyle w:val="ae"/>
        <w:spacing w:after="120" w:line="360" w:lineRule="auto"/>
        <w:ind w:left="567"/>
        <w:contextualSpacing w:val="0"/>
        <w:jc w:val="both"/>
        <w:rPr>
          <w:rtl/>
        </w:rPr>
      </w:pPr>
      <w:r w:rsidRPr="004B071F">
        <w:rPr>
          <w:rFonts w:hint="cs"/>
          <w:rtl/>
        </w:rPr>
        <w:t>ביום 23.12.2020</w:t>
      </w:r>
      <w:r w:rsidR="00743BE9" w:rsidRPr="004B071F">
        <w:rPr>
          <w:rFonts w:hint="cs"/>
          <w:rtl/>
        </w:rPr>
        <w:t xml:space="preserve"> הוגשה תביעת פינוי נגד האישה. המצאת התביעה מהווה מכתב לפינוי.</w:t>
      </w:r>
    </w:p>
    <w:p w:rsidR="00743BE9" w:rsidRDefault="00743BE9" w:rsidP="00743BE9">
      <w:pPr>
        <w:pStyle w:val="ae"/>
        <w:spacing w:after="120" w:line="360" w:lineRule="auto"/>
        <w:ind w:left="567"/>
        <w:contextualSpacing w:val="0"/>
        <w:jc w:val="both"/>
        <w:rPr>
          <w:rtl/>
        </w:rPr>
      </w:pPr>
      <w:r w:rsidRPr="004B071F">
        <w:rPr>
          <w:rFonts w:hint="cs"/>
          <w:rtl/>
        </w:rPr>
        <w:t>דמי השכירות הנתבעים בהליך זה הם מיום 1.11.2020</w:t>
      </w:r>
      <w:r w:rsidR="004B071F" w:rsidRPr="004B071F">
        <w:rPr>
          <w:rFonts w:hint="cs"/>
          <w:rtl/>
        </w:rPr>
        <w:t xml:space="preserve"> ובהתבסס על חוות דעת השמאי שקבע שדמי השכירות הראויים הם 3,500 </w:t>
      </w:r>
      <w:r w:rsidR="00C54B5E">
        <w:rPr>
          <w:rFonts w:hint="cs"/>
          <w:rtl/>
        </w:rPr>
        <w:t>ש</w:t>
      </w:r>
      <w:r w:rsidR="00C54B5E">
        <w:rPr>
          <w:rtl/>
        </w:rPr>
        <w:t>"</w:t>
      </w:r>
      <w:r w:rsidR="00C54B5E">
        <w:rPr>
          <w:rFonts w:hint="cs"/>
          <w:rtl/>
        </w:rPr>
        <w:t>ח</w:t>
      </w:r>
      <w:r w:rsidR="004B071F" w:rsidRPr="004B071F">
        <w:rPr>
          <w:rFonts w:hint="cs"/>
          <w:rtl/>
        </w:rPr>
        <w:t xml:space="preserve"> בסך הכל 59,500 </w:t>
      </w:r>
      <w:r w:rsidR="00C54B5E">
        <w:rPr>
          <w:rFonts w:hint="cs"/>
          <w:rtl/>
        </w:rPr>
        <w:t>ש</w:t>
      </w:r>
      <w:r w:rsidR="00C54B5E">
        <w:rPr>
          <w:rtl/>
        </w:rPr>
        <w:t>"</w:t>
      </w:r>
      <w:r w:rsidR="00C54B5E">
        <w:rPr>
          <w:rFonts w:hint="cs"/>
          <w:rtl/>
        </w:rPr>
        <w:t>ח</w:t>
      </w:r>
      <w:r w:rsidR="004B071F" w:rsidRPr="004B071F">
        <w:rPr>
          <w:rFonts w:hint="cs"/>
          <w:rtl/>
        </w:rPr>
        <w:t xml:space="preserve"> </w:t>
      </w:r>
      <w:r w:rsidR="004B071F">
        <w:rPr>
          <w:rFonts w:hint="cs"/>
          <w:rtl/>
        </w:rPr>
        <w:t>וכן פ</w:t>
      </w:r>
      <w:r w:rsidR="004B071F" w:rsidRPr="004B071F">
        <w:rPr>
          <w:rFonts w:hint="cs"/>
          <w:rtl/>
        </w:rPr>
        <w:t xml:space="preserve">יצוי בגין האיחור בפינוי. </w:t>
      </w:r>
    </w:p>
    <w:p w:rsidR="004B071F" w:rsidRPr="004B071F" w:rsidRDefault="004B071F" w:rsidP="004B071F">
      <w:pPr>
        <w:pStyle w:val="ae"/>
        <w:numPr>
          <w:ilvl w:val="0"/>
          <w:numId w:val="2"/>
        </w:numPr>
        <w:spacing w:after="120" w:line="360" w:lineRule="auto"/>
        <w:ind w:left="567" w:hanging="567"/>
        <w:contextualSpacing w:val="0"/>
        <w:jc w:val="both"/>
      </w:pPr>
      <w:r>
        <w:rPr>
          <w:rFonts w:hint="cs"/>
          <w:b/>
          <w:bCs/>
          <w:u w:val="single"/>
          <w:rtl/>
        </w:rPr>
        <w:t>טענות הנתבעת, האישה:</w:t>
      </w:r>
    </w:p>
    <w:p w:rsidR="004B071F" w:rsidRDefault="003F33AB" w:rsidP="004B071F">
      <w:pPr>
        <w:pStyle w:val="ae"/>
        <w:spacing w:after="120" w:line="360" w:lineRule="auto"/>
        <w:ind w:left="567"/>
        <w:contextualSpacing w:val="0"/>
        <w:jc w:val="both"/>
        <w:rPr>
          <w:rtl/>
        </w:rPr>
      </w:pPr>
      <w:r>
        <w:rPr>
          <w:rFonts w:hint="cs"/>
          <w:rtl/>
        </w:rPr>
        <w:t>בנו של האב, האיש, הצהיר בפניה כי ברשותו בית מגורים. בעקבות מריבה שהתפתחה בשל בגידת האיש באישה תקף האיש את האישה ובכך התנהלות אלימה משך זמן ממושך הגיעה לשיאה. משט</w:t>
      </w:r>
      <w:r w:rsidR="00C21C19">
        <w:rPr>
          <w:rFonts w:hint="cs"/>
          <w:rtl/>
        </w:rPr>
        <w:t xml:space="preserve">רת ישראל הרחיקה את האיש והדבר הוביל לגירושין. </w:t>
      </w:r>
    </w:p>
    <w:p w:rsidR="00C21C19" w:rsidRDefault="00C21C19" w:rsidP="004B071F">
      <w:pPr>
        <w:pStyle w:val="ae"/>
        <w:spacing w:after="120" w:line="360" w:lineRule="auto"/>
        <w:ind w:left="567"/>
        <w:contextualSpacing w:val="0"/>
        <w:jc w:val="both"/>
        <w:rPr>
          <w:rtl/>
        </w:rPr>
      </w:pPr>
      <w:r>
        <w:rPr>
          <w:rFonts w:hint="cs"/>
          <w:rtl/>
        </w:rPr>
        <w:t xml:space="preserve">רישום הזכויות בנכס על שם האב בוצע רק לאחר שפרץ הסכסוך ובעקבות ההליך המשפטי שכן ללא ההליך לא היה מוסדר הרישום שכן הנכס שייך לאישה ולאיש. </w:t>
      </w:r>
    </w:p>
    <w:p w:rsidR="00C21C19" w:rsidRDefault="00C21C19" w:rsidP="00E63E84">
      <w:pPr>
        <w:pStyle w:val="ae"/>
        <w:spacing w:after="120" w:line="360" w:lineRule="auto"/>
        <w:ind w:left="567"/>
        <w:contextualSpacing w:val="0"/>
        <w:jc w:val="both"/>
        <w:rPr>
          <w:rtl/>
        </w:rPr>
      </w:pPr>
      <w:r>
        <w:rPr>
          <w:rFonts w:hint="cs"/>
          <w:rtl/>
        </w:rPr>
        <w:t xml:space="preserve">על אף שמדובר בנכס שבנייתו הושלמה טרם הנשואין, מתקיימות נסיבות המהוות "דבר מה נוסף" מעבר לחיי הנשואין המלמד על כוונה לשיתוף בנכס </w:t>
      </w:r>
      <w:r w:rsidR="00E63E84">
        <w:rPr>
          <w:rFonts w:hint="cs"/>
          <w:rtl/>
        </w:rPr>
        <w:t>-</w:t>
      </w:r>
      <w:r>
        <w:rPr>
          <w:rFonts w:hint="cs"/>
          <w:rtl/>
        </w:rPr>
        <w:t xml:space="preserve"> מגורים משותפים, הולדת שלושה ילדים והתנהלות בבית. </w:t>
      </w:r>
    </w:p>
    <w:p w:rsidR="00E124D7" w:rsidRPr="00E124D7" w:rsidRDefault="00E124D7" w:rsidP="00E124D7">
      <w:pPr>
        <w:spacing w:after="120" w:line="360" w:lineRule="auto"/>
        <w:ind w:left="567" w:hanging="567"/>
        <w:jc w:val="both"/>
        <w:rPr>
          <w:b/>
          <w:bCs/>
          <w:u w:val="single"/>
          <w:rtl/>
        </w:rPr>
      </w:pPr>
      <w:r w:rsidRPr="00E124D7">
        <w:rPr>
          <w:rFonts w:hint="cs"/>
          <w:b/>
          <w:bCs/>
          <w:rtl/>
        </w:rPr>
        <w:t>ג.2.</w:t>
      </w:r>
      <w:r w:rsidRPr="00E124D7">
        <w:rPr>
          <w:rFonts w:hint="cs"/>
          <w:b/>
          <w:bCs/>
          <w:rtl/>
        </w:rPr>
        <w:tab/>
      </w:r>
      <w:r w:rsidRPr="00E124D7">
        <w:rPr>
          <w:rFonts w:hint="cs"/>
          <w:b/>
          <w:bCs/>
          <w:u w:val="single"/>
          <w:rtl/>
        </w:rPr>
        <w:t>דיון והכרעה</w:t>
      </w:r>
    </w:p>
    <w:p w:rsidR="00E124D7" w:rsidRDefault="00E124D7" w:rsidP="00F924B0">
      <w:pPr>
        <w:pStyle w:val="ae"/>
        <w:numPr>
          <w:ilvl w:val="0"/>
          <w:numId w:val="2"/>
        </w:numPr>
        <w:spacing w:after="120" w:line="360" w:lineRule="auto"/>
        <w:ind w:left="567" w:hanging="567"/>
        <w:contextualSpacing w:val="0"/>
        <w:jc w:val="both"/>
      </w:pPr>
      <w:r>
        <w:rPr>
          <w:rFonts w:hint="cs"/>
          <w:rtl/>
        </w:rPr>
        <w:lastRenderedPageBreak/>
        <w:t xml:space="preserve">כאמור, במסגרת פסק דין זה הכרתי בזכות הבעלות של האב וקבעתי את זכות האישה כבעלת רישיון לגור בנכס מכח רשות שניתנה לה על ידי האב. לאור טיבה של הזכות שהוקנתה לאישה </w:t>
      </w:r>
      <w:r w:rsidR="00F924B0">
        <w:rPr>
          <w:rFonts w:hint="cs"/>
          <w:rtl/>
        </w:rPr>
        <w:t>-</w:t>
      </w:r>
      <w:r>
        <w:rPr>
          <w:rFonts w:hint="cs"/>
          <w:rtl/>
        </w:rPr>
        <w:t xml:space="preserve"> רשות לעשות שימוש בנכס (רישיון במקרקעין), רשאי האב להודיע על ביטול הרישיון. </w:t>
      </w:r>
    </w:p>
    <w:p w:rsidR="00E63E84" w:rsidRDefault="00E124D7" w:rsidP="00814EC4">
      <w:pPr>
        <w:pStyle w:val="ae"/>
        <w:numPr>
          <w:ilvl w:val="0"/>
          <w:numId w:val="2"/>
        </w:numPr>
        <w:spacing w:after="120" w:line="360" w:lineRule="auto"/>
        <w:ind w:left="567" w:hanging="567"/>
        <w:contextualSpacing w:val="0"/>
        <w:jc w:val="both"/>
      </w:pPr>
      <w:r w:rsidRPr="00E124D7">
        <w:rPr>
          <w:rFonts w:hint="cs"/>
          <w:rtl/>
        </w:rPr>
        <w:t xml:space="preserve">האב </w:t>
      </w:r>
      <w:r>
        <w:rPr>
          <w:rFonts w:hint="cs"/>
          <w:rtl/>
        </w:rPr>
        <w:t>טען, כי הודיע בעל פה על סיום הרשות אולם לא הוצגה גרסה מפורטת בדבר ההודעה</w:t>
      </w:r>
      <w:r w:rsidR="00814EC4">
        <w:rPr>
          <w:rFonts w:hint="cs"/>
          <w:rtl/>
        </w:rPr>
        <w:t xml:space="preserve">, לא הוצגו אינדיקציות לפעולה כלשהי בעקבות ההודעה, לכאורה, ולא תיעוד בדיעבד לאותה פניה. </w:t>
      </w:r>
    </w:p>
    <w:p w:rsidR="00814EC4" w:rsidRDefault="00814EC4" w:rsidP="00E63E84">
      <w:pPr>
        <w:pStyle w:val="ae"/>
        <w:spacing w:after="120" w:line="360" w:lineRule="auto"/>
        <w:ind w:left="567"/>
        <w:contextualSpacing w:val="0"/>
        <w:jc w:val="both"/>
      </w:pPr>
      <w:r>
        <w:rPr>
          <w:rFonts w:hint="cs"/>
          <w:rtl/>
        </w:rPr>
        <w:t xml:space="preserve">בנוסף, בכתב תביעת הפינוי טען האב כי נשלח מטעמו מכתב בחודש נובמבר 2020 אך המכתב לא צורף ולא נטענה הטענה בדבר קיומו של מכתב בתצהיר עדות ראשית. כך, אין בפניי הודעה מסודרת בענין ביטול הזכות ולא הוצגה פניה מוקדמת לתביעה בדרישת פינוי. </w:t>
      </w:r>
    </w:p>
    <w:p w:rsidR="00814EC4" w:rsidRDefault="00814EC4" w:rsidP="00814EC4">
      <w:pPr>
        <w:pStyle w:val="ae"/>
        <w:numPr>
          <w:ilvl w:val="0"/>
          <w:numId w:val="2"/>
        </w:numPr>
        <w:spacing w:after="120" w:line="360" w:lineRule="auto"/>
        <w:ind w:left="567" w:hanging="567"/>
        <w:contextualSpacing w:val="0"/>
        <w:jc w:val="both"/>
      </w:pPr>
      <w:r>
        <w:rPr>
          <w:rFonts w:hint="cs"/>
          <w:rtl/>
        </w:rPr>
        <w:t>אין בעצם פרידת האיש והאישה כדי להוות אירוע מבטל את הרשיון שניתן והשאלה האם השימוש בנכס לאחר הפרידה ממשיך להיות מותר</w:t>
      </w:r>
      <w:r w:rsidR="00E63E84">
        <w:rPr>
          <w:rFonts w:hint="cs"/>
          <w:rtl/>
        </w:rPr>
        <w:t xml:space="preserve"> ובאילו תנאים</w:t>
      </w:r>
      <w:r>
        <w:rPr>
          <w:rFonts w:hint="cs"/>
          <w:rtl/>
        </w:rPr>
        <w:t xml:space="preserve"> היא שאלה שהאב צריך היה להציג עמדה ברורה בעניינה. </w:t>
      </w:r>
    </w:p>
    <w:p w:rsidR="00093490" w:rsidRDefault="00093490" w:rsidP="00814EC4">
      <w:pPr>
        <w:pStyle w:val="ae"/>
        <w:numPr>
          <w:ilvl w:val="0"/>
          <w:numId w:val="2"/>
        </w:numPr>
        <w:spacing w:after="120" w:line="360" w:lineRule="auto"/>
        <w:ind w:left="567" w:hanging="567"/>
        <w:contextualSpacing w:val="0"/>
        <w:jc w:val="both"/>
      </w:pPr>
      <w:r>
        <w:rPr>
          <w:rFonts w:hint="cs"/>
          <w:rtl/>
        </w:rPr>
        <w:t>גם אם ניתן להבין שהגשת תביעת הפינוי מהווה, במהותה, הודעה בדבר הפסקת הרישיון לעשות שימוש בנכס, אין בכך כדי להוות המועד לתחילת גביית דמי השכירות.</w:t>
      </w:r>
    </w:p>
    <w:p w:rsidR="00E63E84" w:rsidRDefault="00093490" w:rsidP="00093490">
      <w:pPr>
        <w:pStyle w:val="ae"/>
        <w:spacing w:after="120" w:line="360" w:lineRule="auto"/>
        <w:ind w:left="567"/>
        <w:contextualSpacing w:val="0"/>
        <w:jc w:val="both"/>
        <w:rPr>
          <w:rtl/>
        </w:rPr>
      </w:pPr>
      <w:r>
        <w:rPr>
          <w:rFonts w:hint="cs"/>
          <w:rtl/>
        </w:rPr>
        <w:t>אסביר: משך תקופת המגורים הממושכת, העדר הסדרת חלופת מגורים, העדר תשלום רכיב מדור ומגורי הקטינים בנכס - מהווים שיקולים המצדיקים קביעת תקופת היערכות טרם ביצוע הפינוי</w:t>
      </w:r>
      <w:r w:rsidR="00E63E84">
        <w:rPr>
          <w:rFonts w:hint="cs"/>
          <w:rtl/>
        </w:rPr>
        <w:t xml:space="preserve"> ואף טרם תחילת הגביה</w:t>
      </w:r>
      <w:r>
        <w:rPr>
          <w:rFonts w:hint="cs"/>
          <w:rtl/>
        </w:rPr>
        <w:t xml:space="preserve">. </w:t>
      </w:r>
    </w:p>
    <w:p w:rsidR="00093490" w:rsidRDefault="00093490" w:rsidP="00E63E84">
      <w:pPr>
        <w:pStyle w:val="ae"/>
        <w:spacing w:after="120" w:line="360" w:lineRule="auto"/>
        <w:ind w:left="567"/>
        <w:contextualSpacing w:val="0"/>
        <w:jc w:val="both"/>
        <w:rPr>
          <w:rtl/>
        </w:rPr>
      </w:pPr>
      <w:r>
        <w:rPr>
          <w:rFonts w:hint="cs"/>
          <w:rtl/>
        </w:rPr>
        <w:t xml:space="preserve">על כן,  </w:t>
      </w:r>
      <w:r w:rsidR="00E63E84">
        <w:rPr>
          <w:rFonts w:hint="cs"/>
          <w:rtl/>
        </w:rPr>
        <w:t xml:space="preserve">כאשר נבחנת הנסיבות, כאשר נלקח בחשבון משך הזמן הממושך של המגורים, שימוש בנכס כדירת מגורים יחידה משך כל השנים, הצורך להיערך לתשלום השוטף והשינוי הנדרש באורח החיים של האישה כדי להצליח ולממן את התשלום; כל זאת בד בבד עם שקילת המשמעות של אי הודעה ברורה ומסודרת בדבר עצם ביצוע הפינוי וקביעה בענין הפינוי במסגרת פסק דין זה - אני סבורה </w:t>
      </w:r>
      <w:r>
        <w:rPr>
          <w:rFonts w:hint="cs"/>
          <w:rtl/>
        </w:rPr>
        <w:t>יש מקום לחיי</w:t>
      </w:r>
      <w:r w:rsidR="00E63E84">
        <w:rPr>
          <w:rFonts w:hint="cs"/>
          <w:rtl/>
        </w:rPr>
        <w:t xml:space="preserve">ב את האישה בדמי שכירות רק ממועד מתן פסק דין זה </w:t>
      </w:r>
      <w:r>
        <w:rPr>
          <w:rFonts w:hint="cs"/>
          <w:rtl/>
        </w:rPr>
        <w:t xml:space="preserve">ולא ממועד </w:t>
      </w:r>
      <w:r w:rsidR="00E63E84">
        <w:rPr>
          <w:rFonts w:hint="cs"/>
          <w:rtl/>
        </w:rPr>
        <w:t xml:space="preserve">מוקדם יותר - פרידת האיש והאישה או מועד נטען של </w:t>
      </w:r>
      <w:r>
        <w:rPr>
          <w:rFonts w:hint="cs"/>
          <w:rtl/>
        </w:rPr>
        <w:t>מתן ההודעה על ביטול הרישיון.</w:t>
      </w:r>
    </w:p>
    <w:p w:rsidR="007F6180" w:rsidRDefault="00093490" w:rsidP="007F6180">
      <w:pPr>
        <w:pStyle w:val="ae"/>
        <w:spacing w:after="120" w:line="360" w:lineRule="auto"/>
        <w:ind w:left="567"/>
        <w:contextualSpacing w:val="0"/>
        <w:jc w:val="both"/>
        <w:rPr>
          <w:rtl/>
        </w:rPr>
      </w:pPr>
      <w:r>
        <w:rPr>
          <w:rFonts w:hint="cs"/>
          <w:rtl/>
        </w:rPr>
        <w:t xml:space="preserve">החלטה זו מבוססת </w:t>
      </w:r>
      <w:r w:rsidR="007F6180">
        <w:rPr>
          <w:rFonts w:hint="cs"/>
          <w:rtl/>
        </w:rPr>
        <w:t xml:space="preserve">גם </w:t>
      </w:r>
      <w:r>
        <w:rPr>
          <w:rFonts w:hint="cs"/>
          <w:rtl/>
        </w:rPr>
        <w:t>על ההסתמכות של האישה בכל הנוגע למגוריה בנכס</w:t>
      </w:r>
      <w:r w:rsidR="007F6180">
        <w:rPr>
          <w:rFonts w:hint="cs"/>
          <w:rtl/>
        </w:rPr>
        <w:t xml:space="preserve"> וכן על השיקולים ששוקל בית המשפט בעת פינוי קטינים מבית מגוריהם</w:t>
      </w:r>
      <w:r w:rsidR="00223EBF">
        <w:rPr>
          <w:rFonts w:hint="cs"/>
          <w:rtl/>
        </w:rPr>
        <w:t xml:space="preserve"> ובכלל כך קיומו של מדור חלופי</w:t>
      </w:r>
      <w:r w:rsidR="007F6180">
        <w:rPr>
          <w:rFonts w:hint="cs"/>
          <w:rtl/>
        </w:rPr>
        <w:t xml:space="preserve">. </w:t>
      </w:r>
    </w:p>
    <w:p w:rsidR="00223EBF" w:rsidRDefault="007F6180" w:rsidP="00223EBF">
      <w:pPr>
        <w:pStyle w:val="ae"/>
        <w:spacing w:after="120" w:line="360" w:lineRule="auto"/>
        <w:ind w:left="567"/>
        <w:contextualSpacing w:val="0"/>
        <w:jc w:val="both"/>
        <w:rPr>
          <w:rtl/>
        </w:rPr>
      </w:pPr>
      <w:r>
        <w:rPr>
          <w:rFonts w:hint="cs"/>
          <w:rtl/>
        </w:rPr>
        <w:t xml:space="preserve">בנוסף, איני סבורה שיש עיגון לדרישה לחייב את האישה במלוא דמי השכירות שעה שהרישיון ניתן לשני בני הזוג </w:t>
      </w:r>
      <w:r w:rsidR="00223EBF">
        <w:rPr>
          <w:rFonts w:hint="cs"/>
          <w:rtl/>
        </w:rPr>
        <w:t xml:space="preserve">אשר התגוררו בנכס עם </w:t>
      </w:r>
      <w:r>
        <w:rPr>
          <w:rFonts w:hint="cs"/>
          <w:rtl/>
        </w:rPr>
        <w:t>ילדיהם ו</w:t>
      </w:r>
      <w:r w:rsidR="00223EBF">
        <w:rPr>
          <w:rFonts w:hint="cs"/>
          <w:rtl/>
        </w:rPr>
        <w:t xml:space="preserve">שעה שהתביעה הוגשה רק נגד האישה וזאת שעה שעלות מגורי הקטינים צריכה להלקח בחשבון כהוצאה של שני ההורים. </w:t>
      </w:r>
    </w:p>
    <w:p w:rsidR="00223EBF" w:rsidRDefault="00223EBF" w:rsidP="00FA20F6">
      <w:pPr>
        <w:pStyle w:val="ae"/>
        <w:spacing w:after="120" w:line="360" w:lineRule="auto"/>
        <w:ind w:left="567"/>
        <w:contextualSpacing w:val="0"/>
        <w:jc w:val="both"/>
        <w:rPr>
          <w:rtl/>
        </w:rPr>
      </w:pPr>
      <w:r>
        <w:rPr>
          <w:rFonts w:hint="cs"/>
          <w:rtl/>
        </w:rPr>
        <w:lastRenderedPageBreak/>
        <w:t xml:space="preserve">על כן, בהסתמך על קביעת המומחה (שלא נסתרה), בהערכת חלקם של הקטינים, בשים לב למועד הפינוי שנקבע בפסק הדין ומשך הזמן הסביר להיערכות לפינוי לאחר הגשת הודעה על ביטול הרישיון אני מורה על חיובה של האישה </w:t>
      </w:r>
      <w:r w:rsidRPr="00E63E84">
        <w:rPr>
          <w:rFonts w:hint="cs"/>
          <w:b/>
          <w:bCs/>
          <w:rtl/>
        </w:rPr>
        <w:t>במחצית דמי השימוש</w:t>
      </w:r>
      <w:r>
        <w:rPr>
          <w:rFonts w:hint="cs"/>
          <w:rtl/>
        </w:rPr>
        <w:t xml:space="preserve"> שנקבעו על ידי השמאי</w:t>
      </w:r>
      <w:r w:rsidR="00FA20F6">
        <w:rPr>
          <w:rFonts w:hint="cs"/>
          <w:rtl/>
        </w:rPr>
        <w:t>, בסך 1,750 ש"ח,</w:t>
      </w:r>
      <w:r>
        <w:rPr>
          <w:rFonts w:hint="cs"/>
          <w:rtl/>
        </w:rPr>
        <w:t xml:space="preserve"> כאשר מועד החיוב ימנה ממועד </w:t>
      </w:r>
      <w:r w:rsidR="00E63E84">
        <w:rPr>
          <w:rFonts w:hint="cs"/>
          <w:rtl/>
        </w:rPr>
        <w:t>מתן פסק הדין</w:t>
      </w:r>
      <w:r>
        <w:rPr>
          <w:rFonts w:hint="cs"/>
          <w:rtl/>
        </w:rPr>
        <w:t xml:space="preserve">. </w:t>
      </w:r>
    </w:p>
    <w:p w:rsidR="00F924B0" w:rsidRDefault="00223EBF" w:rsidP="00223EBF">
      <w:pPr>
        <w:pStyle w:val="ae"/>
        <w:spacing w:after="120" w:line="360" w:lineRule="auto"/>
        <w:ind w:left="567"/>
        <w:contextualSpacing w:val="0"/>
        <w:jc w:val="both"/>
        <w:rPr>
          <w:rtl/>
        </w:rPr>
      </w:pPr>
      <w:r>
        <w:rPr>
          <w:rFonts w:hint="cs"/>
          <w:rtl/>
        </w:rPr>
        <w:t>אין בקביעה בדבר שיעור דמי השכירות שיגבו, ככל שלא יבוצע הפינוי, כדי למנוע או לחסום כל טענה בדבר גביית סכומים המהווים שיעור הנזק שנגרם מאי הפינוי וכן כל עלות נוספת שתידרש לשם ביצוע הפינוי (כלומר, אין בקביעת החיוב במחצית דמי השכירות, היה והאישה לא תפנה את הנכס במועד כדי למנוע תביעת סכום נוסף על סכום דמי השכירות בהתאם לשיעור הנזק וה</w:t>
      </w:r>
      <w:r w:rsidR="00F924B0">
        <w:rPr>
          <w:rFonts w:hint="cs"/>
          <w:rtl/>
        </w:rPr>
        <w:t xml:space="preserve">וצאות נוספות). </w:t>
      </w:r>
    </w:p>
    <w:p w:rsidR="00694556" w:rsidRDefault="00B24325" w:rsidP="00B24325">
      <w:pPr>
        <w:pStyle w:val="ae"/>
        <w:numPr>
          <w:ilvl w:val="0"/>
          <w:numId w:val="5"/>
        </w:numPr>
        <w:spacing w:after="120" w:line="360" w:lineRule="auto"/>
        <w:ind w:left="567" w:hanging="567"/>
        <w:jc w:val="both"/>
        <w:rPr>
          <w:rFonts w:ascii="Arial" w:hAnsi="Arial"/>
          <w:b/>
          <w:bCs/>
          <w:noProof w:val="0"/>
          <w:sz w:val="28"/>
          <w:szCs w:val="28"/>
          <w:u w:val="single"/>
        </w:rPr>
      </w:pPr>
      <w:r w:rsidRPr="00B24325">
        <w:rPr>
          <w:rFonts w:ascii="Arial" w:hAnsi="Arial" w:hint="cs"/>
          <w:b/>
          <w:bCs/>
          <w:noProof w:val="0"/>
          <w:sz w:val="28"/>
          <w:szCs w:val="28"/>
          <w:u w:val="single"/>
          <w:rtl/>
        </w:rPr>
        <w:t>סוף דבר:</w:t>
      </w:r>
    </w:p>
    <w:p w:rsidR="00B24325" w:rsidRDefault="00B24325" w:rsidP="00AD3ABC">
      <w:pPr>
        <w:pStyle w:val="ae"/>
        <w:spacing w:after="120" w:line="360" w:lineRule="auto"/>
        <w:ind w:left="567"/>
        <w:contextualSpacing w:val="0"/>
        <w:jc w:val="both"/>
        <w:rPr>
          <w:rFonts w:ascii="Arial" w:hAnsi="Arial"/>
          <w:noProof w:val="0"/>
          <w:rtl/>
        </w:rPr>
      </w:pPr>
      <w:r>
        <w:rPr>
          <w:rFonts w:ascii="Arial" w:hAnsi="Arial" w:hint="cs"/>
          <w:noProof w:val="0"/>
          <w:rtl/>
        </w:rPr>
        <w:t xml:space="preserve">תביעתה של האישה לסעד הצהרתי המופנה כלפי האב בכל הנוגע לנכס המקרקעין - נדחית. </w:t>
      </w:r>
    </w:p>
    <w:p w:rsidR="00B24325" w:rsidRDefault="00B24325" w:rsidP="00AD3ABC">
      <w:pPr>
        <w:pStyle w:val="ae"/>
        <w:spacing w:after="120" w:line="360" w:lineRule="auto"/>
        <w:ind w:left="567"/>
        <w:contextualSpacing w:val="0"/>
        <w:jc w:val="both"/>
        <w:rPr>
          <w:rFonts w:ascii="Arial" w:hAnsi="Arial"/>
          <w:noProof w:val="0"/>
          <w:rtl/>
        </w:rPr>
      </w:pPr>
      <w:r>
        <w:rPr>
          <w:rFonts w:ascii="Arial" w:hAnsi="Arial" w:hint="cs"/>
          <w:noProof w:val="0"/>
          <w:rtl/>
        </w:rPr>
        <w:t xml:space="preserve">תביעתה הרכושית של האישה מתקבלת באופן חלקי, כמפורט לעיל. ב"כ האיש יודיע לב"כ האישה בתוך 7 ימים מהי החלופה בה בוחר מרשו מתוך החלופות שקבע המומחה בחוות הדעת. </w:t>
      </w:r>
    </w:p>
    <w:p w:rsidR="00B24325" w:rsidRDefault="00B24325" w:rsidP="00AD3ABC">
      <w:pPr>
        <w:pStyle w:val="ae"/>
        <w:spacing w:after="120" w:line="360" w:lineRule="auto"/>
        <w:ind w:left="567"/>
        <w:contextualSpacing w:val="0"/>
        <w:jc w:val="both"/>
        <w:rPr>
          <w:rFonts w:ascii="Arial" w:hAnsi="Arial"/>
          <w:noProof w:val="0"/>
          <w:rtl/>
        </w:rPr>
      </w:pPr>
      <w:r>
        <w:rPr>
          <w:rFonts w:ascii="Arial" w:hAnsi="Arial" w:hint="cs"/>
          <w:noProof w:val="0"/>
          <w:rtl/>
        </w:rPr>
        <w:t>מחצית הסכום שנמשך מחשבון הבנק, כמפורט בסעיפים 78-70 לעיל תשולם על ידי האיש לאישה תוך 30 ימים מהיום. כפי שפורט שם, הסכום יישא הפרשי הצמדה וריבית</w:t>
      </w:r>
      <w:r w:rsidR="00CD41B8">
        <w:rPr>
          <w:rFonts w:ascii="Arial" w:hAnsi="Arial" w:hint="cs"/>
          <w:noProof w:val="0"/>
          <w:rtl/>
        </w:rPr>
        <w:t xml:space="preserve"> כחוק</w:t>
      </w:r>
      <w:r>
        <w:rPr>
          <w:rFonts w:ascii="Arial" w:hAnsi="Arial" w:hint="cs"/>
          <w:noProof w:val="0"/>
          <w:rtl/>
        </w:rPr>
        <w:t xml:space="preserve"> ממועד משיכת הכספים ועד למועד התשלום המלא בפועל. </w:t>
      </w:r>
    </w:p>
    <w:p w:rsidR="00B24325" w:rsidRDefault="00B24325" w:rsidP="00AD3ABC">
      <w:pPr>
        <w:pStyle w:val="ae"/>
        <w:spacing w:after="120" w:line="360" w:lineRule="auto"/>
        <w:ind w:left="567"/>
        <w:contextualSpacing w:val="0"/>
        <w:jc w:val="both"/>
        <w:rPr>
          <w:rFonts w:ascii="Arial" w:hAnsi="Arial"/>
          <w:noProof w:val="0"/>
          <w:rtl/>
        </w:rPr>
      </w:pPr>
      <w:r>
        <w:rPr>
          <w:rFonts w:ascii="Arial" w:hAnsi="Arial" w:hint="cs"/>
          <w:noProof w:val="0"/>
          <w:rtl/>
        </w:rPr>
        <w:t>תביעת הפינוי שהגיש האב מתקבלת, אך מועד הפינוי נקבע למועד נדחה, כמפורט בסעיף 91 לעיל.</w:t>
      </w:r>
    </w:p>
    <w:p w:rsidR="00B24325" w:rsidRDefault="00B24325" w:rsidP="00FA20F6">
      <w:pPr>
        <w:pStyle w:val="ae"/>
        <w:spacing w:after="120" w:line="360" w:lineRule="auto"/>
        <w:ind w:left="567"/>
        <w:contextualSpacing w:val="0"/>
        <w:jc w:val="both"/>
        <w:rPr>
          <w:rFonts w:ascii="Arial" w:hAnsi="Arial"/>
          <w:noProof w:val="0"/>
          <w:rtl/>
        </w:rPr>
      </w:pPr>
      <w:r>
        <w:rPr>
          <w:rFonts w:ascii="Arial" w:hAnsi="Arial" w:hint="cs"/>
          <w:noProof w:val="0"/>
          <w:rtl/>
        </w:rPr>
        <w:t>התביעה לקביעת דמ</w:t>
      </w:r>
      <w:r w:rsidR="00AD3ABC">
        <w:rPr>
          <w:rFonts w:ascii="Arial" w:hAnsi="Arial" w:hint="cs"/>
          <w:noProof w:val="0"/>
          <w:rtl/>
        </w:rPr>
        <w:t>י שימוש מתקבל</w:t>
      </w:r>
      <w:r w:rsidR="00FA20F6">
        <w:rPr>
          <w:rFonts w:ascii="Arial" w:hAnsi="Arial" w:hint="cs"/>
          <w:noProof w:val="0"/>
          <w:rtl/>
        </w:rPr>
        <w:t>ת</w:t>
      </w:r>
      <w:r w:rsidR="00AD3ABC">
        <w:rPr>
          <w:rFonts w:ascii="Arial" w:hAnsi="Arial" w:hint="cs"/>
          <w:noProof w:val="0"/>
          <w:rtl/>
        </w:rPr>
        <w:t xml:space="preserve"> באופן חלקי - הן ביחס לסכום </w:t>
      </w:r>
      <w:r w:rsidR="00FA20F6">
        <w:rPr>
          <w:rFonts w:ascii="Arial" w:hAnsi="Arial" w:hint="cs"/>
          <w:noProof w:val="0"/>
          <w:rtl/>
        </w:rPr>
        <w:t xml:space="preserve">החיוב </w:t>
      </w:r>
      <w:r w:rsidR="00AD3ABC">
        <w:rPr>
          <w:rFonts w:ascii="Arial" w:hAnsi="Arial" w:hint="cs"/>
          <w:noProof w:val="0"/>
          <w:rtl/>
        </w:rPr>
        <w:t xml:space="preserve">והן ביחס למועד החיוב שיוחל רק ממועד </w:t>
      </w:r>
      <w:r w:rsidR="00FA20F6">
        <w:rPr>
          <w:rFonts w:ascii="Arial" w:hAnsi="Arial" w:hint="cs"/>
          <w:noProof w:val="0"/>
          <w:rtl/>
        </w:rPr>
        <w:t>מתן פסק דין זה,</w:t>
      </w:r>
      <w:r w:rsidR="00AD3ABC">
        <w:rPr>
          <w:rFonts w:ascii="Arial" w:hAnsi="Arial" w:hint="cs"/>
          <w:noProof w:val="0"/>
          <w:rtl/>
        </w:rPr>
        <w:t xml:space="preserve"> תוך הדגשה שאין בדמי השימוש שנקבעו כדי למנוע תביעת כל סכום נוסף שנובע מאי הפינוי. </w:t>
      </w:r>
    </w:p>
    <w:p w:rsidR="00AD3ABC" w:rsidRDefault="00AD3ABC" w:rsidP="00AD3ABC">
      <w:pPr>
        <w:pStyle w:val="ae"/>
        <w:spacing w:after="120" w:line="360" w:lineRule="auto"/>
        <w:ind w:left="567"/>
        <w:contextualSpacing w:val="0"/>
        <w:jc w:val="both"/>
        <w:rPr>
          <w:rFonts w:ascii="Arial" w:hAnsi="Arial"/>
          <w:noProof w:val="0"/>
          <w:rtl/>
        </w:rPr>
      </w:pPr>
      <w:r>
        <w:rPr>
          <w:rFonts w:ascii="Arial" w:hAnsi="Arial" w:hint="cs"/>
          <w:noProof w:val="0"/>
          <w:rtl/>
        </w:rPr>
        <w:t xml:space="preserve">לאחר ששקלתי את תוצאות ההליך, את אופן ניהולו, את עמידת כל אחד מהצדדים על טענות שאינן מבוססות משפטית </w:t>
      </w:r>
      <w:r w:rsidR="00FA20F6">
        <w:rPr>
          <w:rFonts w:ascii="Arial" w:hAnsi="Arial" w:hint="cs"/>
          <w:noProof w:val="0"/>
          <w:rtl/>
        </w:rPr>
        <w:t xml:space="preserve">או עובדתית </w:t>
      </w:r>
      <w:r>
        <w:rPr>
          <w:rFonts w:ascii="Arial" w:hAnsi="Arial" w:hint="cs"/>
          <w:noProof w:val="0"/>
          <w:rtl/>
        </w:rPr>
        <w:t xml:space="preserve">והכחשת כל אחד מהצדדים טענות שהיה להן בסיס - אני מורה כי כל צד יישא בהוצאותיו. </w:t>
      </w:r>
    </w:p>
    <w:p w:rsidR="00AD3ABC" w:rsidRPr="00AD3ABC" w:rsidRDefault="00AD3ABC" w:rsidP="00AD3ABC">
      <w:pPr>
        <w:pStyle w:val="ae"/>
        <w:spacing w:after="120" w:line="360" w:lineRule="auto"/>
        <w:ind w:left="567"/>
        <w:contextualSpacing w:val="0"/>
        <w:jc w:val="both"/>
        <w:rPr>
          <w:rFonts w:ascii="Arial" w:hAnsi="Arial"/>
          <w:b/>
          <w:bCs/>
          <w:noProof w:val="0"/>
          <w:rtl/>
        </w:rPr>
      </w:pPr>
      <w:r w:rsidRPr="00AD3ABC">
        <w:rPr>
          <w:rFonts w:ascii="Arial" w:hAnsi="Arial" w:hint="cs"/>
          <w:b/>
          <w:bCs/>
          <w:noProof w:val="0"/>
          <w:rtl/>
        </w:rPr>
        <w:t>אני מתירה את פרסום פסק הדין בהשמטת פרטים מזהים.</w:t>
      </w:r>
    </w:p>
    <w:p w:rsidR="00AD3ABC" w:rsidRPr="00AD3ABC" w:rsidRDefault="00AD3ABC" w:rsidP="00AD3ABC">
      <w:pPr>
        <w:pStyle w:val="ae"/>
        <w:spacing w:after="120" w:line="360" w:lineRule="auto"/>
        <w:ind w:left="567"/>
        <w:contextualSpacing w:val="0"/>
        <w:jc w:val="both"/>
        <w:rPr>
          <w:rFonts w:ascii="Arial" w:hAnsi="Arial"/>
          <w:b/>
          <w:bCs/>
          <w:noProof w:val="0"/>
          <w:u w:val="single"/>
          <w:rtl/>
        </w:rPr>
      </w:pPr>
      <w:r w:rsidRPr="00AD3ABC">
        <w:rPr>
          <w:rFonts w:ascii="Arial" w:hAnsi="Arial" w:hint="cs"/>
          <w:b/>
          <w:bCs/>
          <w:noProof w:val="0"/>
          <w:u w:val="single"/>
          <w:rtl/>
        </w:rPr>
        <w:t xml:space="preserve">המזכירות תמציא את פסק הדין לצדדים. </w:t>
      </w:r>
    </w:p>
    <w:p w:rsidR="00694556" w:rsidRDefault="00005C8B" w:rsidP="00EE6E03">
      <w:pPr>
        <w:spacing w:after="120"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ג' כסלו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16 נובמבר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D85C92" w:rsidP="00633C4F">
      <w:pPr>
        <w:spacing w:line="360" w:lineRule="auto"/>
        <w:ind w:left="3600" w:firstLine="720"/>
      </w:pPr>
      <w:sdt>
        <w:sdtPr>
          <w:rPr>
            <w:rtl/>
          </w:rPr>
          <w:alias w:val="MergeField"/>
          <w:tag w:val="1237"/>
          <w:id w:val="-1106731876"/>
        </w:sdtPr>
        <w:sdtEndPr/>
        <w:sdtContent>
          <w:r w:rsidR="00825138">
            <w:drawing>
              <wp:inline distT="0" distB="0" distL="0" distR="0" wp14:editId="50D07946">
                <wp:extent cx="1343025" cy="752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7" cstate="print">
                          <a:extLst/>
                        </a:blip>
                        <a:stretch>
                          <a:fillRect/>
                        </a:stretch>
                      </pic:blipFill>
                      <pic:spPr>
                        <a:xfrm>
                          <a:off x="0" y="0"/>
                          <a:ext cx="1343025" cy="7524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8"/>
      <w:headerReference w:type="default" r:id="rId19"/>
      <w:footerReference w:type="even" r:id="rId20"/>
      <w:footerReference w:type="default" r:id="rId21"/>
      <w:headerReference w:type="first" r:id="rId22"/>
      <w:footerReference w:type="first" r:id="rId23"/>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C92" w:rsidRDefault="00D85C92">
      <w:r>
        <w:separator/>
      </w:r>
    </w:p>
  </w:endnote>
  <w:endnote w:type="continuationSeparator" w:id="0">
    <w:p w:rsidR="00D85C92" w:rsidRDefault="00D85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138" w:rsidRDefault="00825138">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5"/>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CB2354">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CB2354">
      <w:rPr>
        <w:rStyle w:val="ac"/>
        <w:rtl/>
      </w:rPr>
      <w:t>32</w:t>
    </w:r>
    <w:r w:rsidRPr="004E6E3C">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138" w:rsidRDefault="0082513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C92" w:rsidRDefault="00D85C92">
      <w:r>
        <w:separator/>
      </w:r>
    </w:p>
  </w:footnote>
  <w:footnote w:type="continuationSeparator" w:id="0">
    <w:p w:rsidR="00D85C92" w:rsidRDefault="00D85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138" w:rsidRDefault="0082513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בחדרה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D85C92" w:rsidP="00741F84">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53041-12-20</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741F84">
                <w:rPr>
                  <w:rFonts w:hint="cs"/>
                  <w:b/>
                  <w:bCs/>
                  <w:noProof w:val="0"/>
                  <w:sz w:val="26"/>
                  <w:szCs w:val="26"/>
                  <w:rtl/>
                </w:rPr>
                <w:t>מ'</w:t>
              </w:r>
              <w:r w:rsidR="00FB3C14">
                <w:rPr>
                  <w:b/>
                  <w:bCs/>
                  <w:noProof w:val="0"/>
                  <w:sz w:val="26"/>
                  <w:szCs w:val="26"/>
                  <w:rtl/>
                </w:rPr>
                <w:t xml:space="preserve"> נ' </w:t>
              </w:r>
              <w:r w:rsidR="00741F84">
                <w:rPr>
                  <w:rFonts w:hint="cs"/>
                  <w:b/>
                  <w:bCs/>
                  <w:noProof w:val="0"/>
                  <w:sz w:val="26"/>
                  <w:szCs w:val="26"/>
                  <w:rtl/>
                </w:rPr>
                <w:t>ע'</w:t>
              </w:r>
              <w:r w:rsidR="00823768">
                <w:rPr>
                  <w:rFonts w:hint="cs"/>
                  <w:b/>
                  <w:bCs/>
                  <w:noProof w:val="0"/>
                  <w:sz w:val="26"/>
                  <w:szCs w:val="26"/>
                  <w:rtl/>
                </w:rPr>
                <w:t xml:space="preserve"> (תביעת פינוי)</w:t>
              </w:r>
            </w:sdtContent>
          </w:sdt>
        </w:p>
        <w:p w:rsidR="004E43DC" w:rsidRDefault="004E43DC" w:rsidP="00741F84">
          <w:pPr>
            <w:rPr>
              <w:b/>
              <w:bCs/>
              <w:noProof w:val="0"/>
              <w:sz w:val="26"/>
              <w:szCs w:val="26"/>
              <w:rtl/>
            </w:rPr>
          </w:pPr>
          <w:r>
            <w:rPr>
              <w:rFonts w:hint="cs"/>
              <w:b/>
              <w:bCs/>
              <w:noProof w:val="0"/>
              <w:sz w:val="26"/>
              <w:szCs w:val="26"/>
              <w:rtl/>
            </w:rPr>
            <w:t xml:space="preserve">תמ"ש 35490-01-21 </w:t>
          </w:r>
          <w:r w:rsidR="00741F84">
            <w:rPr>
              <w:rFonts w:hint="cs"/>
              <w:b/>
              <w:bCs/>
              <w:noProof w:val="0"/>
              <w:sz w:val="26"/>
              <w:szCs w:val="26"/>
              <w:rtl/>
            </w:rPr>
            <w:t>ע'</w:t>
          </w:r>
          <w:r w:rsidR="00507ED5">
            <w:rPr>
              <w:rFonts w:hint="cs"/>
              <w:b/>
              <w:bCs/>
              <w:noProof w:val="0"/>
              <w:sz w:val="26"/>
              <w:szCs w:val="26"/>
              <w:rtl/>
            </w:rPr>
            <w:t xml:space="preserve"> נ' </w:t>
          </w:r>
          <w:r w:rsidR="00741F84">
            <w:rPr>
              <w:rFonts w:hint="cs"/>
              <w:b/>
              <w:bCs/>
              <w:noProof w:val="0"/>
              <w:sz w:val="26"/>
              <w:szCs w:val="26"/>
              <w:rtl/>
            </w:rPr>
            <w:t>א'</w:t>
          </w:r>
          <w:r w:rsidR="00507ED5">
            <w:rPr>
              <w:rFonts w:hint="cs"/>
              <w:b/>
              <w:bCs/>
              <w:noProof w:val="0"/>
              <w:sz w:val="26"/>
              <w:szCs w:val="26"/>
              <w:rtl/>
            </w:rPr>
            <w:t xml:space="preserve"> </w:t>
          </w:r>
          <w:r w:rsidR="00823768">
            <w:rPr>
              <w:rFonts w:hint="cs"/>
              <w:b/>
              <w:bCs/>
              <w:noProof w:val="0"/>
              <w:sz w:val="26"/>
              <w:szCs w:val="26"/>
              <w:rtl/>
            </w:rPr>
            <w:t>(תביעה רכושית)</w:t>
          </w:r>
        </w:p>
        <w:p w:rsidR="004E43DC" w:rsidRDefault="004E43DC" w:rsidP="00741F84">
          <w:pPr>
            <w:rPr>
              <w:b/>
              <w:bCs/>
              <w:noProof w:val="0"/>
              <w:sz w:val="26"/>
              <w:szCs w:val="26"/>
              <w:rtl/>
            </w:rPr>
          </w:pPr>
          <w:r>
            <w:rPr>
              <w:rFonts w:hint="cs"/>
              <w:b/>
              <w:bCs/>
              <w:noProof w:val="0"/>
              <w:sz w:val="26"/>
              <w:szCs w:val="26"/>
              <w:rtl/>
            </w:rPr>
            <w:t>תמ"ש 51657-07-21</w:t>
          </w:r>
          <w:r w:rsidR="00B46F35">
            <w:rPr>
              <w:rFonts w:hint="cs"/>
              <w:b/>
              <w:bCs/>
              <w:noProof w:val="0"/>
              <w:sz w:val="26"/>
              <w:szCs w:val="26"/>
              <w:rtl/>
            </w:rPr>
            <w:t xml:space="preserve"> </w:t>
          </w:r>
          <w:r w:rsidR="00741F84">
            <w:rPr>
              <w:rFonts w:hint="cs"/>
              <w:b/>
              <w:bCs/>
              <w:noProof w:val="0"/>
              <w:sz w:val="26"/>
              <w:szCs w:val="26"/>
              <w:rtl/>
            </w:rPr>
            <w:t>ע'</w:t>
          </w:r>
          <w:r w:rsidR="00B46F35">
            <w:rPr>
              <w:rFonts w:hint="cs"/>
              <w:b/>
              <w:bCs/>
              <w:noProof w:val="0"/>
              <w:sz w:val="26"/>
              <w:szCs w:val="26"/>
              <w:rtl/>
            </w:rPr>
            <w:t xml:space="preserve"> נ' </w:t>
          </w:r>
          <w:r w:rsidR="00741F84">
            <w:rPr>
              <w:rFonts w:hint="cs"/>
              <w:b/>
              <w:bCs/>
              <w:noProof w:val="0"/>
              <w:sz w:val="26"/>
              <w:szCs w:val="26"/>
              <w:rtl/>
            </w:rPr>
            <w:t>מ'</w:t>
          </w:r>
          <w:r w:rsidR="00823768">
            <w:rPr>
              <w:rFonts w:hint="cs"/>
              <w:b/>
              <w:bCs/>
              <w:noProof w:val="0"/>
              <w:sz w:val="26"/>
              <w:szCs w:val="26"/>
              <w:rtl/>
            </w:rPr>
            <w:t>(תביעה לסעד הצהרתי)</w:t>
          </w:r>
        </w:p>
        <w:p w:rsidR="004E43DC" w:rsidRDefault="00507ED5" w:rsidP="00741F84">
          <w:pPr>
            <w:rPr>
              <w:b/>
              <w:bCs/>
              <w:noProof w:val="0"/>
              <w:sz w:val="26"/>
              <w:szCs w:val="26"/>
              <w:rtl/>
            </w:rPr>
          </w:pPr>
          <w:r>
            <w:rPr>
              <w:rFonts w:hint="cs"/>
              <w:b/>
              <w:bCs/>
              <w:noProof w:val="0"/>
              <w:sz w:val="26"/>
              <w:szCs w:val="26"/>
              <w:rtl/>
            </w:rPr>
            <w:t xml:space="preserve">תמ"ש </w:t>
          </w:r>
          <w:r w:rsidR="004E43DC">
            <w:rPr>
              <w:rFonts w:hint="cs"/>
              <w:b/>
              <w:bCs/>
              <w:noProof w:val="0"/>
              <w:sz w:val="26"/>
              <w:szCs w:val="26"/>
              <w:rtl/>
            </w:rPr>
            <w:t>54167-03-22</w:t>
          </w:r>
          <w:r w:rsidR="00B46F35">
            <w:rPr>
              <w:rFonts w:hint="cs"/>
              <w:b/>
              <w:bCs/>
              <w:noProof w:val="0"/>
              <w:sz w:val="26"/>
              <w:szCs w:val="26"/>
              <w:rtl/>
            </w:rPr>
            <w:t xml:space="preserve"> מ</w:t>
          </w:r>
          <w:r w:rsidR="00741F84">
            <w:rPr>
              <w:rFonts w:hint="cs"/>
              <w:b/>
              <w:bCs/>
              <w:noProof w:val="0"/>
              <w:sz w:val="26"/>
              <w:szCs w:val="26"/>
              <w:rtl/>
            </w:rPr>
            <w:t>'</w:t>
          </w:r>
          <w:r w:rsidR="00B46F35">
            <w:rPr>
              <w:rFonts w:hint="cs"/>
              <w:b/>
              <w:bCs/>
              <w:noProof w:val="0"/>
              <w:sz w:val="26"/>
              <w:szCs w:val="26"/>
              <w:rtl/>
            </w:rPr>
            <w:t xml:space="preserve"> נ' </w:t>
          </w:r>
          <w:r w:rsidR="00741F84">
            <w:rPr>
              <w:rFonts w:hint="cs"/>
              <w:b/>
              <w:bCs/>
              <w:noProof w:val="0"/>
              <w:sz w:val="26"/>
              <w:szCs w:val="26"/>
              <w:rtl/>
            </w:rPr>
            <w:t>ע'</w:t>
          </w:r>
          <w:r w:rsidR="00823768">
            <w:rPr>
              <w:rFonts w:hint="cs"/>
              <w:b/>
              <w:bCs/>
              <w:noProof w:val="0"/>
              <w:sz w:val="26"/>
              <w:szCs w:val="26"/>
              <w:rtl/>
            </w:rPr>
            <w:t xml:space="preserve"> (תביעה כספית)</w:t>
          </w:r>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138" w:rsidRDefault="0082513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85289A"/>
    <w:multiLevelType w:val="hybridMultilevel"/>
    <w:tmpl w:val="CFF447F4"/>
    <w:lvl w:ilvl="0" w:tplc="86EEC33E">
      <w:start w:val="1"/>
      <w:numFmt w:val="hebrew1"/>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246E03"/>
    <w:multiLevelType w:val="hybridMultilevel"/>
    <w:tmpl w:val="702CE73A"/>
    <w:lvl w:ilvl="0" w:tplc="2814CC1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B10A0C"/>
    <w:multiLevelType w:val="hybridMultilevel"/>
    <w:tmpl w:val="B8F89150"/>
    <w:lvl w:ilvl="0" w:tplc="AD4269DC">
      <w:start w:val="3"/>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A7651C"/>
    <w:multiLevelType w:val="hybridMultilevel"/>
    <w:tmpl w:val="294E1A00"/>
    <w:lvl w:ilvl="0" w:tplc="E468EFF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92B2AA2"/>
    <w:multiLevelType w:val="hybridMultilevel"/>
    <w:tmpl w:val="249E137A"/>
    <w:lvl w:ilvl="0" w:tplc="9CB8DAF2">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97497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974970&amp;lt;/CaseID&amp;gt;_x000d__x000a_        &amp;lt;CaseMonth&amp;gt;12&amp;lt;/CaseMonth&amp;gt;_x000d__x000a_        &amp;lt;CaseYear&amp;gt;2020&amp;lt;/CaseYear&amp;gt;_x000d__x000a_        &amp;lt;CaseNumber&amp;gt;53041&amp;lt;/CaseNumber&amp;gt;_x000d__x000a_        &amp;lt;NumeratorGroupID&amp;gt;1&amp;lt;/NumeratorGroupID&amp;gt;_x000d__x000a_        &amp;lt;CaseName&amp;gt;מגאדלה נ&amp;#39; עלוש מג&amp;#39;אדלה&amp;lt;/CaseName&amp;gt;_x000d__x000a_        &amp;lt;CourtID&amp;gt;28&amp;lt;/CourtID&amp;gt;_x000d__x000a_        &amp;lt;CaseTypeID&amp;gt;15&amp;lt;/CaseTypeID&amp;gt;_x000d__x000a_        &amp;lt;CaseInterestID&amp;gt;167&amp;lt;/CaseInterestID&amp;gt;_x000d__x000a_        &amp;lt;CaseJudgeName&amp;gt;יפעת שקדי ש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3041-12-20&amp;lt;/CaseDisplayIdentifier&amp;gt;_x000d__x000a_        &amp;lt;CaseTypeDesc&amp;gt;תמ&amp;quot;ש&amp;lt;/CaseTypeDesc&amp;gt;_x000d__x000a_        &amp;lt;CourtDesc&amp;gt;שלום חדר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12-23T14:18:00+02:00&amp;lt;/CaseOpenDate&amp;gt;_x000d__x000a_        &amp;lt;PleaTypeID&amp;gt;4&amp;lt;/PleaTypeID&amp;gt;_x000d__x000a_        &amp;lt;CourtLevelID&amp;gt;1&amp;lt;/CourtLevelID&amp;gt;_x000d__x000a_        &amp;lt;CourtLevelCaseTypeInterestID&amp;gt;98&amp;lt;/CourtLevelCaseTypeInterestID&amp;gt;_x000d__x000a_        &amp;lt;CaseJudgeFirstName&amp;gt;יפעת&amp;lt;/CaseJudgeFirstName&amp;gt;_x000d__x000a_        &amp;lt;CaseJudgeLastName&amp;gt;שקדי שץ&amp;lt;/CaseJudgeLastName&amp;gt;_x000d__x000a_        &amp;lt;JudicalPersonID&amp;gt;034342147@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974970&amp;lt;/CaseID&amp;gt;_x000d__x000a_        &amp;lt;CaseMonth&amp;gt;12&amp;lt;/CaseMonth&amp;gt;_x000d__x000a_        &amp;lt;CaseYear&amp;gt;2020&amp;lt;/CaseYear&amp;gt;_x000d__x000a_        &amp;lt;CaseNumber&amp;gt;53041&amp;lt;/CaseNumber&amp;gt;_x000d__x000a_        &amp;lt;NumeratorGroupID&amp;gt;1&amp;lt;/NumeratorGroupID&amp;gt;_x000d__x000a_        &amp;lt;CaseName&amp;gt;מגאדלה נ&amp;#39; עלוש מג&amp;#39;אדלה&amp;lt;/CaseName&amp;gt;_x000d__x000a_        &amp;lt;CourtID&amp;gt;28&amp;lt;/CourtID&amp;gt;_x000d__x000a_        &amp;lt;CaseTypeID&amp;gt;15&amp;lt;/CaseTypeID&amp;gt;_x000d__x000a_        &amp;lt;CaseInterestID&amp;gt;167&amp;lt;/CaseInterestID&amp;gt;_x000d__x000a_        &amp;lt;CaseJudgeName&amp;gt;יפעת שקדי ש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3041-12-20&amp;lt;/CaseDisplayIdentifier&amp;gt;_x000d__x000a_        &amp;lt;CaseTypeDesc&amp;gt;תמ&amp;quot;ש&amp;lt;/CaseTypeDesc&amp;gt;_x000d__x000a_        &amp;lt;CourtDesc&amp;gt;שלום חדרה&amp;lt;/CourtDesc&amp;gt;_x000d__x000a_        &amp;lt;CaseStageDesc&amp;gt;תיק אלקטרוני&amp;lt;/CaseStageDesc&amp;gt;_x000d__x000a_        &amp;lt;CaseNextDeterminingTask&amp;gt;34&amp;lt;/CaseNextDeterminingTask&amp;gt;_x000d__x000a_        &amp;lt;CaseOpenDate&amp;gt;2020-12-23T14:18:00+02:00&amp;lt;/CaseOpenDate&amp;gt;_x000d__x000a_        &amp;lt;PleaTypeID&amp;gt;4&amp;lt;/PleaTypeID&amp;gt;_x000d__x000a_        &amp;lt;CourtLevelID&amp;gt;1&amp;lt;/CourtLevelID&amp;gt;_x000d__x000a_        &amp;lt;CourtLevelCaseTypeInterestID&amp;gt;98&amp;lt;/CourtLevelCaseTypeInterestID&amp;gt;_x000d__x000a_        &amp;lt;CaseJudgeFirstName&amp;gt;יפעת&amp;lt;/CaseJudgeFirstName&amp;gt;_x000d__x000a_        &amp;lt;CaseJudgeLastName&amp;gt;שקדי שץ&amp;lt;/CaseJudgeLastName&amp;gt;_x000d__x000a_        &amp;lt;JudicalPersonID&amp;gt;034342147@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8"/>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871616&amp;lt;/DecisionID&amp;gt;_x000d__x000a_        &amp;lt;DecisionName&amp;gt;פסק דין  שניתנה ע&amp;quot;י  יפעת שקדי שץ&amp;lt;/DecisionName&amp;gt;_x000d__x000a_        &amp;lt;DecisionStatusID&amp;gt;1&amp;lt;/DecisionStatusID&amp;gt;_x000d__x000a_        &amp;lt;DecisionStatusChangeDate&amp;gt;2023-11-16T19:27:29.553+02:00&amp;lt;/DecisionStatusChangeDate&amp;gt;_x000d__x000a_        &amp;lt;DecisionSignatureDate&amp;gt;2023-11-05T13:53:59.397+02:00&amp;lt;/DecisionSignatureDate&amp;gt;_x000d__x000a_        &amp;lt;DecisionSignatureUserID&amp;gt;034342147@GOV.IL&amp;lt;/DecisionSignatureUserID&amp;gt;_x000d__x000a_        &amp;lt;DecisionCreateDate&amp;gt;2023-11-05T13:59:39.8+02:00&amp;lt;/DecisionCreateDate&amp;gt;_x000d__x000a_        &amp;lt;DecisionChangeDate&amp;gt;2023-11-16T19:27:26.27+02:00&amp;lt;/DecisionChangeDate&amp;gt;_x000d__x000a_        &amp;lt;DecisionChangeUserID&amp;gt;03434214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514944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434214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4342147@GOV.IL&amp;lt;/DecisionCreationUserID&amp;gt;_x000d__x000a_        &amp;lt;DecisionDisplayName&amp;gt;פסק דין  שניתנה ע&amp;quot;י  יפעת שקדי שץ&amp;lt;/DecisionDisplayName&amp;gt;_x000d__x000a_        &amp;lt;IsScanned&amp;gt;false&amp;lt;/IsScanned&amp;gt;_x000d__x000a_        &amp;lt;DecisionSignatureUserName&amp;gt;יפעת שקדי שץ&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amp;gt;_x000d__x000a_        &amp;lt;DecisionID&amp;gt;147871616&amp;lt;/DecisionID&amp;gt;_x000d__x000a_        &amp;lt;CaseID&amp;gt;77974970&amp;lt;/CaseID&amp;gt;_x000d__x000a_        &amp;lt;IsOriginal&amp;gt;true&amp;lt;/IsOriginal&amp;gt;_x000d__x000a_        &amp;lt;IsDeleted&amp;gt;false&amp;lt;/IsDeleted&amp;gt;_x000d__x000a_        &amp;lt;CaseName&amp;gt;מגאדלה נ&amp;#39; עלוש מג&amp;#39;אדלה&amp;lt;/CaseName&amp;gt;_x000d__x000a_        &amp;lt;CaseDisplayIdentifier&amp;gt;53041-12-20 תמ&amp;quot;ש&amp;lt;/CaseDisplayIdentifier&amp;gt;_x000d__x000a_      &amp;lt;/dt_DecisionCase&amp;gt;_x000d__x000a_    &amp;lt;/DecisionDS&amp;gt;_x000d__x000a_  &amp;lt;/diffgr:diffgram&amp;gt;_x000d__x000a_&amp;lt;/DecisionDS&amp;gt;"/>
    <w:docVar w:name="DecisionID" w:val="147871616"/>
    <w:docVar w:name="WordClientAssemblyName" w:val="NGCS.Decision.ClientWordBL"/>
    <w:docVar w:name="WordClientClassName" w:val="NGCS.Decision.ClientWordBL.DecisionClient"/>
  </w:docVars>
  <w:rsids>
    <w:rsidRoot w:val="00694556"/>
    <w:rsid w:val="00005C8B"/>
    <w:rsid w:val="00012C3D"/>
    <w:rsid w:val="000146C2"/>
    <w:rsid w:val="00016167"/>
    <w:rsid w:val="00016C35"/>
    <w:rsid w:val="0002039C"/>
    <w:rsid w:val="00024FA8"/>
    <w:rsid w:val="000258FD"/>
    <w:rsid w:val="000262ED"/>
    <w:rsid w:val="00036DFF"/>
    <w:rsid w:val="00046A3D"/>
    <w:rsid w:val="00046ADE"/>
    <w:rsid w:val="000564AB"/>
    <w:rsid w:val="00061A9F"/>
    <w:rsid w:val="00093490"/>
    <w:rsid w:val="000B616C"/>
    <w:rsid w:val="000C1987"/>
    <w:rsid w:val="000D4A02"/>
    <w:rsid w:val="000D62AA"/>
    <w:rsid w:val="000E47F0"/>
    <w:rsid w:val="000F61C1"/>
    <w:rsid w:val="00103DB2"/>
    <w:rsid w:val="001072A9"/>
    <w:rsid w:val="00121F97"/>
    <w:rsid w:val="001249A7"/>
    <w:rsid w:val="001277D7"/>
    <w:rsid w:val="00132017"/>
    <w:rsid w:val="0013528A"/>
    <w:rsid w:val="0014234E"/>
    <w:rsid w:val="00145A87"/>
    <w:rsid w:val="00157F49"/>
    <w:rsid w:val="00167487"/>
    <w:rsid w:val="00182D84"/>
    <w:rsid w:val="00186BC6"/>
    <w:rsid w:val="00195A3B"/>
    <w:rsid w:val="001A4D18"/>
    <w:rsid w:val="001C4003"/>
    <w:rsid w:val="001F5474"/>
    <w:rsid w:val="0021031B"/>
    <w:rsid w:val="00223EBF"/>
    <w:rsid w:val="002352F7"/>
    <w:rsid w:val="00245985"/>
    <w:rsid w:val="00245B00"/>
    <w:rsid w:val="0024794B"/>
    <w:rsid w:val="00256289"/>
    <w:rsid w:val="0027277D"/>
    <w:rsid w:val="00280E2B"/>
    <w:rsid w:val="002878AC"/>
    <w:rsid w:val="002A3B68"/>
    <w:rsid w:val="002A6D35"/>
    <w:rsid w:val="002C100A"/>
    <w:rsid w:val="002D1B3B"/>
    <w:rsid w:val="002D5CE4"/>
    <w:rsid w:val="00310BB0"/>
    <w:rsid w:val="00314748"/>
    <w:rsid w:val="0032459A"/>
    <w:rsid w:val="00352AEF"/>
    <w:rsid w:val="0037018C"/>
    <w:rsid w:val="00381D3A"/>
    <w:rsid w:val="003823DA"/>
    <w:rsid w:val="00393AB5"/>
    <w:rsid w:val="003A7F21"/>
    <w:rsid w:val="003B338E"/>
    <w:rsid w:val="003F33AB"/>
    <w:rsid w:val="00410EF1"/>
    <w:rsid w:val="004251DC"/>
    <w:rsid w:val="004332E7"/>
    <w:rsid w:val="0043595F"/>
    <w:rsid w:val="0044777A"/>
    <w:rsid w:val="004703C4"/>
    <w:rsid w:val="00470F16"/>
    <w:rsid w:val="00471F9E"/>
    <w:rsid w:val="0047645A"/>
    <w:rsid w:val="004B071F"/>
    <w:rsid w:val="004D49A3"/>
    <w:rsid w:val="004D50AC"/>
    <w:rsid w:val="004E0D3F"/>
    <w:rsid w:val="004E1C32"/>
    <w:rsid w:val="004E43DC"/>
    <w:rsid w:val="004E6E3C"/>
    <w:rsid w:val="004F47E5"/>
    <w:rsid w:val="004F4FF4"/>
    <w:rsid w:val="00500DCF"/>
    <w:rsid w:val="005025BB"/>
    <w:rsid w:val="00507ED5"/>
    <w:rsid w:val="005124F1"/>
    <w:rsid w:val="00530BAD"/>
    <w:rsid w:val="00541598"/>
    <w:rsid w:val="00547DB7"/>
    <w:rsid w:val="00562D5A"/>
    <w:rsid w:val="00564DBD"/>
    <w:rsid w:val="00566A24"/>
    <w:rsid w:val="00567324"/>
    <w:rsid w:val="005B0F49"/>
    <w:rsid w:val="005B6C79"/>
    <w:rsid w:val="005C7EC6"/>
    <w:rsid w:val="005D4BDB"/>
    <w:rsid w:val="005F3384"/>
    <w:rsid w:val="0060397D"/>
    <w:rsid w:val="00617BE3"/>
    <w:rsid w:val="00622BAA"/>
    <w:rsid w:val="00625C89"/>
    <w:rsid w:val="00633C4F"/>
    <w:rsid w:val="00671BD5"/>
    <w:rsid w:val="006805C1"/>
    <w:rsid w:val="006816EC"/>
    <w:rsid w:val="00682180"/>
    <w:rsid w:val="00694556"/>
    <w:rsid w:val="006A04A2"/>
    <w:rsid w:val="006A30E3"/>
    <w:rsid w:val="006E1445"/>
    <w:rsid w:val="006E1A53"/>
    <w:rsid w:val="006F2B5E"/>
    <w:rsid w:val="007056AA"/>
    <w:rsid w:val="00712BB0"/>
    <w:rsid w:val="00720BF5"/>
    <w:rsid w:val="00725373"/>
    <w:rsid w:val="00741F84"/>
    <w:rsid w:val="00743BE9"/>
    <w:rsid w:val="00744F41"/>
    <w:rsid w:val="007577FF"/>
    <w:rsid w:val="00793DA3"/>
    <w:rsid w:val="007A1FAD"/>
    <w:rsid w:val="007A24FE"/>
    <w:rsid w:val="007A35AA"/>
    <w:rsid w:val="007B0611"/>
    <w:rsid w:val="007B785D"/>
    <w:rsid w:val="007C070F"/>
    <w:rsid w:val="007D58BC"/>
    <w:rsid w:val="007F1048"/>
    <w:rsid w:val="007F6180"/>
    <w:rsid w:val="00806FBB"/>
    <w:rsid w:val="00814EC4"/>
    <w:rsid w:val="00820005"/>
    <w:rsid w:val="00823768"/>
    <w:rsid w:val="00825138"/>
    <w:rsid w:val="00846D27"/>
    <w:rsid w:val="00851B3C"/>
    <w:rsid w:val="008570C0"/>
    <w:rsid w:val="00860B3B"/>
    <w:rsid w:val="008610A7"/>
    <w:rsid w:val="00862F05"/>
    <w:rsid w:val="008865B6"/>
    <w:rsid w:val="008A0240"/>
    <w:rsid w:val="008A6CC8"/>
    <w:rsid w:val="008C7AD6"/>
    <w:rsid w:val="008D3135"/>
    <w:rsid w:val="008E1332"/>
    <w:rsid w:val="008E77F7"/>
    <w:rsid w:val="00903896"/>
    <w:rsid w:val="00906DFA"/>
    <w:rsid w:val="00911324"/>
    <w:rsid w:val="00927813"/>
    <w:rsid w:val="00944D13"/>
    <w:rsid w:val="00947B81"/>
    <w:rsid w:val="0095372D"/>
    <w:rsid w:val="00957C90"/>
    <w:rsid w:val="00960359"/>
    <w:rsid w:val="009605A4"/>
    <w:rsid w:val="009763D4"/>
    <w:rsid w:val="009800EB"/>
    <w:rsid w:val="00986A39"/>
    <w:rsid w:val="00994EC7"/>
    <w:rsid w:val="009A575D"/>
    <w:rsid w:val="009A73EA"/>
    <w:rsid w:val="009B352D"/>
    <w:rsid w:val="009B70F6"/>
    <w:rsid w:val="009C358E"/>
    <w:rsid w:val="009D1D3D"/>
    <w:rsid w:val="009D7B9E"/>
    <w:rsid w:val="009E0263"/>
    <w:rsid w:val="009E3FBB"/>
    <w:rsid w:val="00A267CF"/>
    <w:rsid w:val="00A308DE"/>
    <w:rsid w:val="00A33445"/>
    <w:rsid w:val="00A342BD"/>
    <w:rsid w:val="00A363C9"/>
    <w:rsid w:val="00A43458"/>
    <w:rsid w:val="00A46FF0"/>
    <w:rsid w:val="00A53E83"/>
    <w:rsid w:val="00A6137F"/>
    <w:rsid w:val="00A6171A"/>
    <w:rsid w:val="00A6264C"/>
    <w:rsid w:val="00A64EB5"/>
    <w:rsid w:val="00A66435"/>
    <w:rsid w:val="00A67A42"/>
    <w:rsid w:val="00A747C7"/>
    <w:rsid w:val="00A77D83"/>
    <w:rsid w:val="00A96087"/>
    <w:rsid w:val="00AA1EDB"/>
    <w:rsid w:val="00AC4E19"/>
    <w:rsid w:val="00AD3ABC"/>
    <w:rsid w:val="00AF11BB"/>
    <w:rsid w:val="00AF1ED6"/>
    <w:rsid w:val="00B1426F"/>
    <w:rsid w:val="00B24325"/>
    <w:rsid w:val="00B32C61"/>
    <w:rsid w:val="00B368FE"/>
    <w:rsid w:val="00B46F35"/>
    <w:rsid w:val="00B504CC"/>
    <w:rsid w:val="00B5113C"/>
    <w:rsid w:val="00B514FE"/>
    <w:rsid w:val="00B61D43"/>
    <w:rsid w:val="00B62518"/>
    <w:rsid w:val="00B74B63"/>
    <w:rsid w:val="00B80CBD"/>
    <w:rsid w:val="00B828C9"/>
    <w:rsid w:val="00B92E39"/>
    <w:rsid w:val="00BC2F89"/>
    <w:rsid w:val="00BC3369"/>
    <w:rsid w:val="00BC6CDC"/>
    <w:rsid w:val="00BD0682"/>
    <w:rsid w:val="00BF6FF5"/>
    <w:rsid w:val="00BF77EE"/>
    <w:rsid w:val="00C006C5"/>
    <w:rsid w:val="00C04F92"/>
    <w:rsid w:val="00C12521"/>
    <w:rsid w:val="00C16E54"/>
    <w:rsid w:val="00C21C19"/>
    <w:rsid w:val="00C32E0F"/>
    <w:rsid w:val="00C348CC"/>
    <w:rsid w:val="00C42BF9"/>
    <w:rsid w:val="00C54B5E"/>
    <w:rsid w:val="00C83E56"/>
    <w:rsid w:val="00C87AFB"/>
    <w:rsid w:val="00CA410E"/>
    <w:rsid w:val="00CA5845"/>
    <w:rsid w:val="00CB230F"/>
    <w:rsid w:val="00CB2354"/>
    <w:rsid w:val="00CB5A51"/>
    <w:rsid w:val="00CB7353"/>
    <w:rsid w:val="00CC30D9"/>
    <w:rsid w:val="00CC63CE"/>
    <w:rsid w:val="00CD41B8"/>
    <w:rsid w:val="00CE3812"/>
    <w:rsid w:val="00CF23E0"/>
    <w:rsid w:val="00D00AF5"/>
    <w:rsid w:val="00D1185B"/>
    <w:rsid w:val="00D319B3"/>
    <w:rsid w:val="00D35424"/>
    <w:rsid w:val="00D36A71"/>
    <w:rsid w:val="00D50DF2"/>
    <w:rsid w:val="00D53924"/>
    <w:rsid w:val="00D60849"/>
    <w:rsid w:val="00D70925"/>
    <w:rsid w:val="00D85C92"/>
    <w:rsid w:val="00D96D8C"/>
    <w:rsid w:val="00DA569E"/>
    <w:rsid w:val="00DA755B"/>
    <w:rsid w:val="00DA76E0"/>
    <w:rsid w:val="00DD337E"/>
    <w:rsid w:val="00DD692B"/>
    <w:rsid w:val="00E00B6F"/>
    <w:rsid w:val="00E00E59"/>
    <w:rsid w:val="00E10740"/>
    <w:rsid w:val="00E124D7"/>
    <w:rsid w:val="00E43783"/>
    <w:rsid w:val="00E44DDF"/>
    <w:rsid w:val="00E54642"/>
    <w:rsid w:val="00E6069D"/>
    <w:rsid w:val="00E63E84"/>
    <w:rsid w:val="00E66899"/>
    <w:rsid w:val="00E9487A"/>
    <w:rsid w:val="00E951D2"/>
    <w:rsid w:val="00E97177"/>
    <w:rsid w:val="00E97908"/>
    <w:rsid w:val="00EB67FB"/>
    <w:rsid w:val="00EC2C0B"/>
    <w:rsid w:val="00EE6E03"/>
    <w:rsid w:val="00EF3ED0"/>
    <w:rsid w:val="00EF530D"/>
    <w:rsid w:val="00EF719D"/>
    <w:rsid w:val="00EF77E4"/>
    <w:rsid w:val="00F12EAB"/>
    <w:rsid w:val="00F1553D"/>
    <w:rsid w:val="00F1773F"/>
    <w:rsid w:val="00F17E56"/>
    <w:rsid w:val="00F23981"/>
    <w:rsid w:val="00F34CA2"/>
    <w:rsid w:val="00F52EAD"/>
    <w:rsid w:val="00F57C4A"/>
    <w:rsid w:val="00F61176"/>
    <w:rsid w:val="00F67600"/>
    <w:rsid w:val="00F8218E"/>
    <w:rsid w:val="00F924B0"/>
    <w:rsid w:val="00FA20F6"/>
    <w:rsid w:val="00FB3C14"/>
    <w:rsid w:val="00FC2A1D"/>
    <w:rsid w:val="00FD6056"/>
    <w:rsid w:val="00FE3476"/>
    <w:rsid w:val="00FF0D04"/>
    <w:rsid w:val="00FF16E0"/>
    <w:rsid w:val="00FF386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
    <w:next w:val="a"/>
    <w:link w:val="50"/>
    <w:semiHidden/>
    <w:unhideWhenUsed/>
    <w:qFormat/>
    <w:rsid w:val="004332E7"/>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957C90"/>
    <w:rPr>
      <w:color w:val="808080"/>
    </w:rPr>
  </w:style>
  <w:style w:type="paragraph" w:styleId="ae">
    <w:name w:val="List Paragraph"/>
    <w:basedOn w:val="a"/>
    <w:uiPriority w:val="34"/>
    <w:qFormat/>
    <w:rsid w:val="00500DCF"/>
    <w:pPr>
      <w:ind w:left="720"/>
      <w:contextualSpacing/>
    </w:pPr>
  </w:style>
  <w:style w:type="character" w:styleId="Hyperlink">
    <w:name w:val="Hyperlink"/>
    <w:basedOn w:val="a0"/>
    <w:uiPriority w:val="99"/>
    <w:semiHidden/>
    <w:unhideWhenUsed/>
    <w:rsid w:val="00314748"/>
    <w:rPr>
      <w:color w:val="0000FF"/>
      <w:u w:val="single"/>
    </w:rPr>
  </w:style>
  <w:style w:type="paragraph" w:styleId="NormalWeb">
    <w:name w:val="Normal (Web)"/>
    <w:basedOn w:val="a"/>
    <w:uiPriority w:val="99"/>
    <w:semiHidden/>
    <w:unhideWhenUsed/>
    <w:rsid w:val="004E1C32"/>
    <w:pPr>
      <w:bidi w:val="0"/>
      <w:spacing w:before="100" w:beforeAutospacing="1" w:after="100" w:afterAutospacing="1"/>
    </w:pPr>
    <w:rPr>
      <w:rFonts w:cs="Times New Roman"/>
      <w:noProof w:val="0"/>
    </w:rPr>
  </w:style>
  <w:style w:type="character" w:customStyle="1" w:styleId="a4">
    <w:name w:val="כותרת עליונה תו"/>
    <w:basedOn w:val="a0"/>
    <w:link w:val="a3"/>
    <w:uiPriority w:val="99"/>
    <w:rsid w:val="004E0D3F"/>
    <w:rPr>
      <w:rFonts w:cs="David"/>
      <w:noProof/>
      <w:sz w:val="24"/>
      <w:szCs w:val="24"/>
    </w:rPr>
  </w:style>
  <w:style w:type="character" w:customStyle="1" w:styleId="50">
    <w:name w:val="כותרת 5 תו"/>
    <w:basedOn w:val="a0"/>
    <w:link w:val="5"/>
    <w:semiHidden/>
    <w:rsid w:val="004332E7"/>
    <w:rPr>
      <w:rFonts w:asciiTheme="majorHAnsi" w:eastAsiaTheme="majorEastAsia" w:hAnsiTheme="majorHAnsi" w:cstheme="majorBidi"/>
      <w:noProof/>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013209">
      <w:bodyDiv w:val="1"/>
      <w:marLeft w:val="0"/>
      <w:marRight w:val="0"/>
      <w:marTop w:val="0"/>
      <w:marBottom w:val="0"/>
      <w:divBdr>
        <w:top w:val="none" w:sz="0" w:space="0" w:color="auto"/>
        <w:left w:val="none" w:sz="0" w:space="0" w:color="auto"/>
        <w:bottom w:val="none" w:sz="0" w:space="0" w:color="auto"/>
        <w:right w:val="none" w:sz="0" w:space="0" w:color="auto"/>
      </w:divBdr>
    </w:div>
    <w:div w:id="330720067">
      <w:bodyDiv w:val="1"/>
      <w:marLeft w:val="0"/>
      <w:marRight w:val="0"/>
      <w:marTop w:val="0"/>
      <w:marBottom w:val="0"/>
      <w:divBdr>
        <w:top w:val="none" w:sz="0" w:space="0" w:color="auto"/>
        <w:left w:val="none" w:sz="0" w:space="0" w:color="auto"/>
        <w:bottom w:val="none" w:sz="0" w:space="0" w:color="auto"/>
        <w:right w:val="none" w:sz="0" w:space="0" w:color="auto"/>
      </w:divBdr>
    </w:div>
    <w:div w:id="494228439">
      <w:bodyDiv w:val="1"/>
      <w:marLeft w:val="0"/>
      <w:marRight w:val="0"/>
      <w:marTop w:val="0"/>
      <w:marBottom w:val="0"/>
      <w:divBdr>
        <w:top w:val="none" w:sz="0" w:space="0" w:color="auto"/>
        <w:left w:val="none" w:sz="0" w:space="0" w:color="auto"/>
        <w:bottom w:val="none" w:sz="0" w:space="0" w:color="auto"/>
        <w:right w:val="none" w:sz="0" w:space="0" w:color="auto"/>
      </w:divBdr>
    </w:div>
    <w:div w:id="706030122">
      <w:bodyDiv w:val="1"/>
      <w:marLeft w:val="0"/>
      <w:marRight w:val="0"/>
      <w:marTop w:val="0"/>
      <w:marBottom w:val="0"/>
      <w:divBdr>
        <w:top w:val="none" w:sz="0" w:space="0" w:color="auto"/>
        <w:left w:val="none" w:sz="0" w:space="0" w:color="auto"/>
        <w:bottom w:val="none" w:sz="0" w:space="0" w:color="auto"/>
        <w:right w:val="none" w:sz="0" w:space="0" w:color="auto"/>
      </w:divBdr>
    </w:div>
    <w:div w:id="828256826">
      <w:bodyDiv w:val="1"/>
      <w:marLeft w:val="0"/>
      <w:marRight w:val="0"/>
      <w:marTop w:val="0"/>
      <w:marBottom w:val="0"/>
      <w:divBdr>
        <w:top w:val="none" w:sz="0" w:space="0" w:color="auto"/>
        <w:left w:val="none" w:sz="0" w:space="0" w:color="auto"/>
        <w:bottom w:val="none" w:sz="0" w:space="0" w:color="auto"/>
        <w:right w:val="none" w:sz="0" w:space="0" w:color="auto"/>
      </w:divBdr>
    </w:div>
    <w:div w:id="928999014">
      <w:bodyDiv w:val="1"/>
      <w:marLeft w:val="0"/>
      <w:marRight w:val="0"/>
      <w:marTop w:val="0"/>
      <w:marBottom w:val="0"/>
      <w:divBdr>
        <w:top w:val="none" w:sz="0" w:space="0" w:color="auto"/>
        <w:left w:val="none" w:sz="0" w:space="0" w:color="auto"/>
        <w:bottom w:val="none" w:sz="0" w:space="0" w:color="auto"/>
        <w:right w:val="none" w:sz="0" w:space="0" w:color="auto"/>
      </w:divBdr>
    </w:div>
    <w:div w:id="1100025625">
      <w:bodyDiv w:val="1"/>
      <w:marLeft w:val="0"/>
      <w:marRight w:val="0"/>
      <w:marTop w:val="0"/>
      <w:marBottom w:val="0"/>
      <w:divBdr>
        <w:top w:val="none" w:sz="0" w:space="0" w:color="auto"/>
        <w:left w:val="none" w:sz="0" w:space="0" w:color="auto"/>
        <w:bottom w:val="none" w:sz="0" w:space="0" w:color="auto"/>
        <w:right w:val="none" w:sz="0" w:space="0" w:color="auto"/>
      </w:divBdr>
    </w:div>
    <w:div w:id="1206525825">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51355378">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90948470">
      <w:bodyDiv w:val="1"/>
      <w:marLeft w:val="0"/>
      <w:marRight w:val="0"/>
      <w:marTop w:val="0"/>
      <w:marBottom w:val="0"/>
      <w:divBdr>
        <w:top w:val="none" w:sz="0" w:space="0" w:color="auto"/>
        <w:left w:val="none" w:sz="0" w:space="0" w:color="auto"/>
        <w:bottom w:val="none" w:sz="0" w:space="0" w:color="auto"/>
        <w:right w:val="none" w:sz="0" w:space="0" w:color="auto"/>
      </w:divBdr>
    </w:div>
    <w:div w:id="164504178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67575677">
      <w:bodyDiv w:val="1"/>
      <w:marLeft w:val="0"/>
      <w:marRight w:val="0"/>
      <w:marTop w:val="0"/>
      <w:marBottom w:val="0"/>
      <w:divBdr>
        <w:top w:val="none" w:sz="0" w:space="0" w:color="auto"/>
        <w:left w:val="none" w:sz="0" w:space="0" w:color="auto"/>
        <w:bottom w:val="none" w:sz="0" w:space="0" w:color="auto"/>
        <w:right w:val="none" w:sz="0" w:space="0" w:color="auto"/>
      </w:divBdr>
    </w:div>
    <w:div w:id="1807160812">
      <w:bodyDiv w:val="1"/>
      <w:marLeft w:val="0"/>
      <w:marRight w:val="0"/>
      <w:marTop w:val="0"/>
      <w:marBottom w:val="0"/>
      <w:divBdr>
        <w:top w:val="none" w:sz="0" w:space="0" w:color="auto"/>
        <w:left w:val="none" w:sz="0" w:space="0" w:color="auto"/>
        <w:bottom w:val="none" w:sz="0" w:space="0" w:color="auto"/>
        <w:right w:val="none" w:sz="0" w:space="0" w:color="auto"/>
      </w:divBdr>
    </w:div>
    <w:div w:id="1818450810">
      <w:bodyDiv w:val="1"/>
      <w:marLeft w:val="0"/>
      <w:marRight w:val="0"/>
      <w:marTop w:val="0"/>
      <w:marBottom w:val="0"/>
      <w:divBdr>
        <w:top w:val="none" w:sz="0" w:space="0" w:color="auto"/>
        <w:left w:val="none" w:sz="0" w:space="0" w:color="auto"/>
        <w:bottom w:val="none" w:sz="0" w:space="0" w:color="auto"/>
        <w:right w:val="none" w:sz="0" w:space="0" w:color="auto"/>
      </w:divBdr>
    </w:div>
    <w:div w:id="197971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law/72138/2.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nevo.co.il/law/72138/2.b" TargetMode="External"/><Relationship Id="rId17" Type="http://schemas.openxmlformats.org/officeDocument/2006/relationships/image" Target="media/image1.jpg"/><Relationship Id="rId25"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hyperlink" Target="http://www.nevo.co.il/case/3888344"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aw/72138/2"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nevo.co.il/case/5598241" TargetMode="External"/><Relationship Id="rId23" Type="http://schemas.openxmlformats.org/officeDocument/2006/relationships/footer" Target="footer3.xml"/><Relationship Id="rId10" Type="http://schemas.openxmlformats.org/officeDocument/2006/relationships/hyperlink" Target="http://www.nevo.co.il/law/72138/2.b"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nevo.co.il/law/72138/2.c" TargetMode="External"/><Relationship Id="rId14" Type="http://schemas.openxmlformats.org/officeDocument/2006/relationships/hyperlink" Target="http://www.nevo.co.il/law/72138/2.b"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4D040C"/>
    <w:rsid w:val="00833049"/>
    <w:rsid w:val="00B40AEB"/>
    <w:rsid w:val="00B65812"/>
    <w:rsid w:val="00CC5512"/>
    <w:rsid w:val="00E60299"/>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77974970</CaseID>
    <CaseJudicialPersonPresentationDS>
      <CaseJudicalPersonActive>
        <CaseID>77974970</CaseID>
        <JudicialPersonID>034342147@GOV.IL</JudicialPersonID>
        <JudicialPersonTypeID>1</JudicialPersonTypeID>
        <JudicialTypeID>1</JudicialTypeID>
        <IsChairman>false</IsChairman>
        <TreatmentStartDate>2021-02-10T18:16:23.623+02:00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דורית ענבר סברדליק</FullName>
        <FirstName>דורית</FirstName>
        <LastName>ענבר סברדליק</LastName>
        <PartyPropertyName/>
        <AuthenticationTypeAndNumber>מ.ר. 26001</AuthenticationTypeAndNumber>
        <RepresentatedOrRepresentativesNames>רנדה עלוש מג'אדלה</RepresentatedOrRepresentativesNames>
        <RepresentatedOrRepresentativesCount>1</RepresentatedOrRepresentativesCount>
        <InvitedBy/>
        <CaseID>77974970</CaseID>
        <CaseJudicialPersonPresentationDS>
          <CaseJudicalPersonActive>
            <CaseID>77974970</CaseID>
            <JudicialPersonID>034342147@GOV.IL</JudicialPersonID>
            <JudicialPersonTypeID>1</JudicialPersonTypeID>
            <JudicialTypeID>1</JudicialTypeID>
            <IsChairman>false</IsChairman>
            <TreatmentStartDate>2021-02-10T18:16:23.623+02:00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221269588</CasePartyID>
        <PartyTypeID>2</PartyTypeID>
        <ActivityStatusID>1</ActivityStatusID>
        <PartyAliasID>21</PartyAliasID>
        <PartyAliasName>בא כוח נתבעים</PartyAliasName>
        <LegalEntityID>399454</LegalEntityID>
        <CaseLegalEntityID>113830352</CaseLegalEntityID>
        <AuthenticationTypeID>4</AuthenticationTypeID>
        <AuthenticationTypeName>מ.ר.</AuthenticationTypeName>
        <LegalEntityNumber>26001</LegalEntityNumber>
        <IsMainPartyType>true</IsMainPartyType>
        <CaseDisplayIdentifier>53041-12-20</CaseDisplayIdentifier>
        <CaseTypeID>15</CaseTypeID>
        <CaseTypeName>תיק משפחה (תמ"ש)</CaseTypeName>
        <CaseName>מגאדלה נ' עלוש מג'אדלה</CaseName>
        <FullAddress>העצמאות 66 חיפה </FullAddress>
        <EmailAddress>doritislaw@gmail.com</EmailAddress>
        <MotionID>0</MotionID>
        <CasePleaID>0</CasePleaID>
        <FatherName xml:space="preserve">        </FatherName>
        <LinkedCaseID>0</LinkedCaseID>
        <PartyID>2</PartyID>
        <CasePartyCategoryID>2</CasePartyCategoryID>
        <LegalEntityAddressID>86407364</LegalEntityAddressID>
        <LegalEntityEmailAddressID>68199937</LegalEntityEmailAddressID>
        <PleaTypeID>4</PleaTypeID>
        <LawyerOfficeName>משרד עו"ד: דורית ענבר סברדליק</LawyerOfficeName>
        <LawyerOfficeID>440098</LawyerOfficeID>
        <GroupPartyAlias/>
        <IsConverted>false</IsConverted>
        <LegalEntityNameID>20438</LegalEntityNameID>
        <RepresentatedNamesOfAssistant/>
        <LegalEntityTypeID>4</LegalEntityTypeID>
        <IsVerdictExists>false</IsVerdictExists>
        <IsAsirAzir>false</IsAsirAzir>
        <IsPublicationProhibited>false</IsPublicationProhibited>
        <PublicationProhibitedFullName>דורית ענבר סברדליק</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מחמוד מג'אדלה</FullName>
        <FirstName>מחמוד</FirstName>
        <LastName>מגאדלה</LastName>
        <PartyPropertyName/>
        <AuthenticationTypeAndNumber>ת"ז 035348408</AuthenticationTypeAndNumber>
        <RepresentatedOrRepresentativesNames>עבד מח'זומי</RepresentatedOrRepresentativesNames>
        <RepresentatedOrRepresentativesCount>1</RepresentatedOrRepresentativesCount>
        <InvitedBy/>
        <CaseID>77974970</CaseID>
        <CaseJudicialPersonPresentationDS>
          <CaseJudicalPersonActive>
            <CaseID>77974970</CaseID>
            <JudicialPersonID>034342147@GOV.IL</JudicialPersonID>
            <JudicialPersonTypeID>1</JudicialPersonTypeID>
            <JudicialTypeID>1</JudicialTypeID>
            <IsChairman>false</IsChairman>
            <TreatmentStartDate>2021-02-10T18:16:23.623+02:00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220509278</CasePartyID>
        <PartyTypeID>1</PartyTypeID>
        <ActivityStatusID>1</ActivityStatusID>
        <PartyAliasID>1</PartyAliasID>
        <PartyAliasName>תובע</PartyAliasName>
        <OrdinalNumber>1</OrdinalNumber>
        <LegalEntityID>45271318</LegalEntityID>
        <CaseLegalEntityID>113598216</CaseLegalEntityID>
        <AuthenticationTypeID>1</AuthenticationTypeID>
        <AuthenticationTypeName>ת"ז</AuthenticationTypeName>
        <LegalEntityNumber>035348408</LegalEntityNumber>
        <IsMainPartyType>true</IsMainPartyType>
        <CaseDisplayIdentifier>53041-12-20</CaseDisplayIdentifier>
        <CaseTypeID>15</CaseTypeID>
        <CaseTypeName>תיק משפחה (תמ"ש)</CaseTypeName>
        <CaseName>מגאדלה נ' עלוש מג'אדלה</CaseName>
        <FullAddress>באקה אל-גרביה </FullAddress>
        <MotionID>0</MotionID>
        <CasePleaID>0</CasePleaID>
        <PassportCountryID>900</PassportCountryID>
        <FatherName>אחמד</FatherName>
        <LinkedCaseID>0</LinkedCaseID>
        <PartyID>1</PartyID>
        <CasePartyCategoryID>2</CasePartyCategoryID>
        <LegalEntityAddressID>84686147</LegalEntityAddressID>
        <GrandfatherName/>
        <DrivingLicenseNumber>546789</DrivingLicenseNumber>
        <PleaTypeID>4</PleaTypeID>
        <GroupPartyAlias>תובעים</GroupPartyAlias>
        <IsConverted>false</IsConverted>
        <LegalEntityRegisteredNameID>1986621</LegalEntityRegisteredNameID>
        <LegalEntityNameID>90697795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מחמוד מג'אדלה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עבד מח'זומי</FullName>
        <FirstName>עבד</FirstName>
        <LastName>מח'זומי</LastName>
        <PartyPropertyName/>
        <AuthenticationTypeAndNumber>מ.ר. 61170</AuthenticationTypeAndNumber>
        <RepresentatedOrRepresentativesNames>מחמוד מג'אדלה</RepresentatedOrRepresentativesNames>
        <RepresentatedOrRepresentativesCount>1</RepresentatedOrRepresentativesCount>
        <InvitedBy/>
        <CaseID>77974970</CaseID>
        <CaseJudicialPersonPresentationDS>
          <CaseJudicalPersonActive>
            <CaseID>77974970</CaseID>
            <JudicialPersonID>034342147@GOV.IL</JudicialPersonID>
            <JudicialPersonTypeID>1</JudicialPersonTypeID>
            <JudicialTypeID>1</JudicialTypeID>
            <IsChairman>false</IsChairman>
            <TreatmentStartDate>2021-02-10T18:16:23.623+02:00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220509279</CasePartyID>
        <PartyTypeID>2</PartyTypeID>
        <ActivityStatusID>1</ActivityStatusID>
        <PartyAliasID>20</PartyAliasID>
        <PartyAliasName>בא כוח תובעים</PartyAliasName>
        <OrdinalNumber>1</OrdinalNumber>
        <LegalEntityID>71661003</LegalEntityID>
        <CaseLegalEntityID>113598217</CaseLegalEntityID>
        <AuthenticationTypeID>4</AuthenticationTypeID>
        <AuthenticationTypeName>מ.ר.</AuthenticationTypeName>
        <LegalEntityNumber>61170</LegalEntityNumber>
        <IsMainPartyType>true</IsMainPartyType>
        <CaseDisplayIdentifier>53041-12-20</CaseDisplayIdentifier>
        <CaseTypeID>15</CaseTypeID>
        <CaseTypeName>תיק משפחה (תמ"ש)</CaseTypeName>
        <CaseName>מגאדלה נ' עלוש מג'אדלה</CaseName>
        <FullAddress>פאולוס השישי נצרת ת.ד 2854</FullAddress>
        <EmailAddress>maknzomy.lawoffice@gmail.com</EmailAddress>
        <MotionID>0</MotionID>
        <CasePleaID>0</CasePleaID>
        <LinkedCaseID>0</LinkedCaseID>
        <PartyID>1</PartyID>
        <CasePartyCategoryID>2</CasePartyCategoryID>
        <LegalEntityAddressID>81013184</LegalEntityAddressID>
        <LegalEntityEmailAddressID>67973812</LegalEntityEmailAddressID>
        <PleaTypeID>4</PleaTypeID>
        <LawyerOfficeName>משרד עו"ד עבד מח'זומי</LawyerOfficeName>
        <LawyerOfficeID>71661004</LawyerOfficeID>
        <GroupPartyAlias/>
        <IsConverted>false</IsConverted>
        <LegalEntityNameID>74988773</LegalEntityNameID>
        <RepresentatedNamesOfAssistant/>
        <LegalEntityTypeID>4</LegalEntityTypeID>
        <IsVerdictExists>false</IsVerdictExists>
        <IsAsirAzir>false</IsAsirAzir>
        <IsPublicationProhibited>false</IsPublicationProhibited>
        <PublicationProhibitedFullName>עבד מח'זומי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רנדה עלוש מג'אדלה</FullName>
        <FirstName>רנדה</FirstName>
        <LastName>עלוש מג'אדלה</LastName>
        <PartyPropertyName/>
        <AuthenticationTypeAndNumber>ת"ז 036512119</AuthenticationTypeAndNumber>
        <RepresentatedOrRepresentativesNames>דורית ענבר סברדליק</RepresentatedOrRepresentativesNames>
        <RepresentatedOrRepresentativesCount>1</RepresentatedOrRepresentativesCount>
        <InvitedBy/>
        <CaseID>77974970</CaseID>
        <CaseJudicialPersonPresentationDS>
          <CaseJudicalPersonActive>
            <CaseID>77974970</CaseID>
            <JudicialPersonID>034342147@GOV.IL</JudicialPersonID>
            <JudicialPersonTypeID>1</JudicialPersonTypeID>
            <JudicialTypeID>1</JudicialTypeID>
            <IsChairman>false</IsChairman>
            <TreatmentStartDate>2021-02-10T18:16:23.623+02:00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220509280</CasePartyID>
        <PartyTypeID>1</PartyTypeID>
        <ActivityStatusID>1</ActivityStatusID>
        <PartyAliasID>2</PartyAliasID>
        <PartyAliasName>נתבע</PartyAliasName>
        <OrdinalNumber>1</OrdinalNumber>
        <LegalEntityID>79061626</LegalEntityID>
        <CaseLegalEntityID>113598218</CaseLegalEntityID>
        <AuthenticationTypeID>1</AuthenticationTypeID>
        <AuthenticationTypeName>ת"ז</AuthenticationTypeName>
        <LegalEntityNumber>036512119</LegalEntityNumber>
        <IsMainPartyType>true</IsMainPartyType>
        <CaseDisplayIdentifier>53041-12-20</CaseDisplayIdentifier>
        <CaseTypeID>15</CaseTypeID>
        <CaseTypeName>תיק משפחה (תמ"ש)</CaseTypeName>
        <CaseName>מגאדלה נ' עלוש מג'אדלה</CaseName>
        <FullAddress>באקה אל-גרביה </FullAddress>
        <MotionID>0</MotionID>
        <CasePleaID>0</CasePleaID>
        <FatherName>סמיר</FatherName>
        <LinkedCaseID>0</LinkedCaseID>
        <PartyID>2</PartyID>
        <CasePartyCategoryID>2</CasePartyCategoryID>
        <LegalEntityAddressID>84686148</LegalEntityAddressID>
        <PleaTypeID>4</PleaTypeID>
        <GroupPartyAlias>נתבעים</GroupPartyAlias>
        <IsConverted>false</IsConverted>
        <LegalEntityNameID>90697796</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רנדה עלוש מג'אדלה</PublicationProhibitedFullName>
      </CaseParties>
    </CasePartiesSelectionDS>
    <DecisionName>פסק דין  שניתנה ע"י  יפעת שקדי שץ</DecisionName>
    <CourtDisplayName>בית משפט לענייני משפחה בחדרה</CourtDisplayName>
    <IsCaseJudgePanel>false</IsCaseJudgePanel>
    <DecisionSignatureDate>2023-11-05T13:53:59.3970219+02:00</DecisionSignatureDate>
    <OpenCaseDate>2020-12-23T14:18:00+02:00</OpenCaseDate>
    <CaseFeeSum>0.000</CaseFeeSum>
    <DecisionTypeID>2</DecisionTypeID>
    <DecisionSignatureUserName>יפעת שקדי שץ</DecisionSignatureUserName>
    <DecisionSignatureDateHebrew>2023-11-05T13:53:59.3970219+02:00</DecisionSignatureDateHebrew>
    <DecisionWriterID>034342147@GOV.IL</DecisionWriterID>
    <CourtAddress>רח' הלל יפה 7 א', חדרה 30203</CourtAddress>
    <IsAutoTextInCaseExist>false</IsAutoTextInCaseExist>
    <DecisionSignatureRoleName>שופט</DecisionSignatureRoleName>
    <DecisionSignatureUserTitleName>שופטת</DecisionSignatureUserTitleName>
    <CaseName>מגאדלה נ' עלוש מג'אדלה</CaseName>
    <DecisionNumberInCase>3</DecisionNumberInCase>
  </dt_Decision>
  <dt_DecisionCase>
    <DecisionID>0</DecisionID>
    <CaseID>77974970</CaseID>
    <CaseJudicialPersonPresentationDS>
      <CaseJudicalPersonActive>
        <CaseID>77974970</CaseID>
        <JudicialPersonID>034342147@GOV.IL</JudicialPersonID>
        <JudicialPersonTypeID>1</JudicialPersonTypeID>
        <JudicialTypeID>1</JudicialTypeID>
        <IsChairman>false</IsChairman>
        <TreatmentStartDate>2021-02-10T18:16:23.623+02:00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דורית ענבר סברדליק</FullName>
        <FirstName>דורית</FirstName>
        <LastName>ענבר סברדליק</LastName>
        <PartyPropertyName/>
        <AuthenticationTypeAndNumber>מ.ר. 26001</AuthenticationTypeAndNumber>
        <RepresentatedOrRepresentativesNames>רנדה עלוש מג'אדלה</RepresentatedOrRepresentativesNames>
        <RepresentatedOrRepresentativesCount>1</RepresentatedOrRepresentativesCount>
        <InvitedBy/>
        <CaseID>77974970</CaseID>
        <CaseJudicialPersonPresentationDS>
          <CaseJudicalPersonActive>
            <CaseID>77974970</CaseID>
            <JudicialPersonID>034342147@GOV.IL</JudicialPersonID>
            <JudicialPersonTypeID>1</JudicialPersonTypeID>
            <JudicialTypeID>1</JudicialTypeID>
            <IsChairman>false</IsChairman>
            <TreatmentStartDate>2021-02-10T18:16:23.623+02:00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221269588</CasePartyID>
        <PartyTypeID>2</PartyTypeID>
        <ActivityStatusID>1</ActivityStatusID>
        <PartyAliasID>21</PartyAliasID>
        <PartyAliasName>בא כוח נתבעים</PartyAliasName>
        <LegalEntityID>399454</LegalEntityID>
        <CaseLegalEntityID>113830352</CaseLegalEntityID>
        <AuthenticationTypeID>4</AuthenticationTypeID>
        <AuthenticationTypeName>מ.ר.</AuthenticationTypeName>
        <LegalEntityNumber>26001</LegalEntityNumber>
        <IsMainPartyType>true</IsMainPartyType>
        <CaseDisplayIdentifier>53041-12-20</CaseDisplayIdentifier>
        <CaseTypeID>15</CaseTypeID>
        <CaseTypeName>תיק משפחה (תמ"ש)</CaseTypeName>
        <CaseName>מגאדלה נ' עלוש מג'אדלה</CaseName>
        <FullAddress>העצמאות 66 חיפה </FullAddress>
        <EmailAddress>doritislaw@gmail.com</EmailAddress>
        <MotionID>0</MotionID>
        <CasePleaID>0</CasePleaID>
        <FatherName xml:space="preserve">        </FatherName>
        <LinkedCaseID>0</LinkedCaseID>
        <PartyID>2</PartyID>
        <CasePartyCategoryID>2</CasePartyCategoryID>
        <LegalEntityAddressID>86407364</LegalEntityAddressID>
        <LegalEntityEmailAddressID>68199937</LegalEntityEmailAddressID>
        <PleaTypeID>4</PleaTypeID>
        <LawyerOfficeName>משרד עו"ד: דורית ענבר סברדליק</LawyerOfficeName>
        <LawyerOfficeID>440098</LawyerOfficeID>
        <GroupPartyAlias/>
        <IsConverted>false</IsConverted>
        <LegalEntityNameID>20438</LegalEntityNameID>
        <RepresentatedNamesOfAssistant/>
        <LegalEntityTypeID>4</LegalEntityTypeID>
        <IsVerdictExists>false</IsVerdictExists>
        <IsAsirAzir>false</IsAsirAzir>
        <IsPublicationProhibited>false</IsPublicationProhibited>
        <PublicationProhibitedFullName>דורית ענבר סברדליק</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מחמוד מג'אדלה</FullName>
        <FirstName>מחמוד</FirstName>
        <LastName>מגאדלה</LastName>
        <PartyPropertyName/>
        <AuthenticationTypeAndNumber>ת"ז 035348408</AuthenticationTypeAndNumber>
        <RepresentatedOrRepresentativesNames>עבד מח'זומי</RepresentatedOrRepresentativesNames>
        <RepresentatedOrRepresentativesCount>1</RepresentatedOrRepresentativesCount>
        <InvitedBy/>
        <CaseID>77974970</CaseID>
        <CaseJudicialPersonPresentationDS>
          <CaseJudicalPersonActive>
            <CaseID>77974970</CaseID>
            <JudicialPersonID>034342147@GOV.IL</JudicialPersonID>
            <JudicialPersonTypeID>1</JudicialPersonTypeID>
            <JudicialTypeID>1</JudicialTypeID>
            <IsChairman>false</IsChairman>
            <TreatmentStartDate>2021-02-10T18:16:23.623+02:00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220509278</CasePartyID>
        <PartyTypeID>1</PartyTypeID>
        <ActivityStatusID>1</ActivityStatusID>
        <PartyAliasID>1</PartyAliasID>
        <PartyAliasName>תובע</PartyAliasName>
        <OrdinalNumber>1</OrdinalNumber>
        <LegalEntityID>45271318</LegalEntityID>
        <CaseLegalEntityID>113598216</CaseLegalEntityID>
        <AuthenticationTypeID>1</AuthenticationTypeID>
        <AuthenticationTypeName>ת"ז</AuthenticationTypeName>
        <LegalEntityNumber>035348408</LegalEntityNumber>
        <IsMainPartyType>true</IsMainPartyType>
        <CaseDisplayIdentifier>53041-12-20</CaseDisplayIdentifier>
        <CaseTypeID>15</CaseTypeID>
        <CaseTypeName>תיק משפחה (תמ"ש)</CaseTypeName>
        <CaseName>מגאדלה נ' עלוש מג'אדלה</CaseName>
        <FullAddress>באקה אל-גרביה </FullAddress>
        <MotionID>0</MotionID>
        <CasePleaID>0</CasePleaID>
        <PassportCountryID>900</PassportCountryID>
        <FatherName>אחמד</FatherName>
        <LinkedCaseID>0</LinkedCaseID>
        <PartyID>1</PartyID>
        <CasePartyCategoryID>2</CasePartyCategoryID>
        <LegalEntityAddressID>84686147</LegalEntityAddressID>
        <GrandfatherName/>
        <DrivingLicenseNumber>546789</DrivingLicenseNumber>
        <PleaTypeID>4</PleaTypeID>
        <GroupPartyAlias>תובעים</GroupPartyAlias>
        <IsConverted>false</IsConverted>
        <LegalEntityRegisteredNameID>1986621</LegalEntityRegisteredNameID>
        <LegalEntityNameID>90697795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מחמוד מג'אדלה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עבד מח'זומי</FullName>
        <FirstName>עבד</FirstName>
        <LastName>מח'זומי</LastName>
        <PartyPropertyName/>
        <AuthenticationTypeAndNumber>מ.ר. 61170</AuthenticationTypeAndNumber>
        <RepresentatedOrRepresentativesNames>מחמוד מג'אדלה</RepresentatedOrRepresentativesNames>
        <RepresentatedOrRepresentativesCount>1</RepresentatedOrRepresentativesCount>
        <InvitedBy/>
        <CaseID>77974970</CaseID>
        <CaseJudicialPersonPresentationDS>
          <CaseJudicalPersonActive>
            <CaseID>77974970</CaseID>
            <JudicialPersonID>034342147@GOV.IL</JudicialPersonID>
            <JudicialPersonTypeID>1</JudicialPersonTypeID>
            <JudicialTypeID>1</JudicialTypeID>
            <IsChairman>false</IsChairman>
            <TreatmentStartDate>2021-02-10T18:16:23.623+02:00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220509279</CasePartyID>
        <PartyTypeID>2</PartyTypeID>
        <ActivityStatusID>1</ActivityStatusID>
        <PartyAliasID>20</PartyAliasID>
        <PartyAliasName>בא כוח תובעים</PartyAliasName>
        <OrdinalNumber>1</OrdinalNumber>
        <LegalEntityID>71661003</LegalEntityID>
        <CaseLegalEntityID>113598217</CaseLegalEntityID>
        <AuthenticationTypeID>4</AuthenticationTypeID>
        <AuthenticationTypeName>מ.ר.</AuthenticationTypeName>
        <LegalEntityNumber>61170</LegalEntityNumber>
        <IsMainPartyType>true</IsMainPartyType>
        <CaseDisplayIdentifier>53041-12-20</CaseDisplayIdentifier>
        <CaseTypeID>15</CaseTypeID>
        <CaseTypeName>תיק משפחה (תמ"ש)</CaseTypeName>
        <CaseName>מגאדלה נ' עלוש מג'אדלה</CaseName>
        <FullAddress>פאולוס השישי נצרת ת.ד 2854</FullAddress>
        <EmailAddress>maknzomy.lawoffice@gmail.com</EmailAddress>
        <MotionID>0</MotionID>
        <CasePleaID>0</CasePleaID>
        <LinkedCaseID>0</LinkedCaseID>
        <PartyID>1</PartyID>
        <CasePartyCategoryID>2</CasePartyCategoryID>
        <LegalEntityAddressID>81013184</LegalEntityAddressID>
        <LegalEntityEmailAddressID>67973812</LegalEntityEmailAddressID>
        <PleaTypeID>4</PleaTypeID>
        <LawyerOfficeName>משרד עו"ד עבד מח'זומי</LawyerOfficeName>
        <LawyerOfficeID>71661004</LawyerOfficeID>
        <GroupPartyAlias/>
        <IsConverted>false</IsConverted>
        <LegalEntityNameID>74988773</LegalEntityNameID>
        <RepresentatedNamesOfAssistant/>
        <LegalEntityTypeID>4</LegalEntityTypeID>
        <IsVerdictExists>false</IsVerdictExists>
        <IsAsirAzir>false</IsAsirAzir>
        <IsPublicationProhibited>false</IsPublicationProhibited>
        <PublicationProhibitedFullName>עבד מח'זומי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רנדה עלוש מג'אדלה</FullName>
        <FirstName>רנדה</FirstName>
        <LastName>עלוש מג'אדלה</LastName>
        <PartyPropertyName/>
        <AuthenticationTypeAndNumber>ת"ז 036512119</AuthenticationTypeAndNumber>
        <RepresentatedOrRepresentativesNames>דורית ענבר סברדליק</RepresentatedOrRepresentativesNames>
        <RepresentatedOrRepresentativesCount>1</RepresentatedOrRepresentativesCount>
        <InvitedBy/>
        <CaseID>77974970</CaseID>
        <CaseJudicialPersonPresentationDS>
          <CaseJudicalPersonActive>
            <CaseID>77974970</CaseID>
            <JudicialPersonID>034342147@GOV.IL</JudicialPersonID>
            <JudicialPersonTypeID>1</JudicialPersonTypeID>
            <JudicialTypeID>1</JudicialTypeID>
            <IsChairman>false</IsChairman>
            <TreatmentStartDate>2021-02-10T18:16:23.623+02:00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220509280</CasePartyID>
        <PartyTypeID>1</PartyTypeID>
        <ActivityStatusID>1</ActivityStatusID>
        <PartyAliasID>2</PartyAliasID>
        <PartyAliasName>נתבע</PartyAliasName>
        <OrdinalNumber>1</OrdinalNumber>
        <LegalEntityID>79061626</LegalEntityID>
        <CaseLegalEntityID>113598218</CaseLegalEntityID>
        <AuthenticationTypeID>1</AuthenticationTypeID>
        <AuthenticationTypeName>ת"ז</AuthenticationTypeName>
        <LegalEntityNumber>036512119</LegalEntityNumber>
        <IsMainPartyType>true</IsMainPartyType>
        <CaseDisplayIdentifier>53041-12-20</CaseDisplayIdentifier>
        <CaseTypeID>15</CaseTypeID>
        <CaseTypeName>תיק משפחה (תמ"ש)</CaseTypeName>
        <CaseName>מגאדלה נ' עלוש מג'אדלה</CaseName>
        <FullAddress>באקה אל-גרביה </FullAddress>
        <MotionID>0</MotionID>
        <CasePleaID>0</CasePleaID>
        <FatherName>סמיר</FatherName>
        <LinkedCaseID>0</LinkedCaseID>
        <PartyID>2</PartyID>
        <CasePartyCategoryID>2</CasePartyCategoryID>
        <LegalEntityAddressID>84686148</LegalEntityAddressID>
        <PleaTypeID>4</PleaTypeID>
        <GroupPartyAlias>נתבעים</GroupPartyAlias>
        <IsConverted>false</IsConverted>
        <LegalEntityNameID>90697796</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רנדה עלוש מג'אדלה</PublicationProhibitedFullName>
      </CaseParties>
    </CasePartiesSelectionDS>
    <CaseName>מגאדלה נ' עלוש מג'אדלה</CaseName>
    <CaseDisplayIdentifier>53041-12-20</CaseDisplayIdentifier>
    <CaseInterestID>167</CaseInterestID>
    <CaseTypeShortName>תמ"ש</CaseTypeShortName>
  </dt_DecisionCase>
  <dt_DecisionJudgePanel>
    <JudgeID>034342147@GOV.IL</JudgeID>
    <DisplayName>יפעת שקדי שץ</DisplayName>
    <RoleName>שופט</RoleName>
    <UserTitleName>שופטת</UserTitleName>
  </dt_DecisionJudgePanel>
  <dt_LegalEntityDetails>
    <Fax>073-7308559</Fax>
    <Phone>073-7308500</Phone>
    <PartyID>2</PartyID>
    <PartyTypeID>2</PartyTypeID>
    <DecisionID>0</DecisionID>
    <StreetName>העצמאות 66</StreetName>
    <CityName>חיפה</CityName>
    <FullName>דורית ענבר סברדליק</FullName>
    <Email>doritislaw@gmail.com</Email>
    <IsPublicationProhibited>false</IsPublicationProhibited>
  </dt_LegalEntityDetails>
  <dt_LegalEntityDetails>
    <PartyID>1</PartyID>
    <PartyTypeID>1</PartyTypeID>
    <DecisionID>0</DecisionID>
    <CityName>באקה אל-גרביה</CityName>
    <FullName>מחמוד מג'אדלה</FullName>
    <IsPublicationProhibited>false</IsPublicationProhibited>
  </dt_LegalEntityDetails>
  <dt_LegalEntityDetails>
    <Fax>077-5019902</Fax>
    <Phone>077-5019901</Phone>
    <AddressDesc>ת.ד 2854</AddressDesc>
    <PartyID>1</PartyID>
    <PartyTypeID>2</PartyTypeID>
    <DecisionID>0</DecisionID>
    <StreetName>פאולוס השישי </StreetName>
    <ZipCode>1612702</ZipCode>
    <CityName>נצרת</CityName>
    <FullName>עבד מח'זומי</FullName>
    <Email>maknzomy.lawoffice@gmail.com</Email>
    <IsPublicationProhibited>false</IsPublicationProhibited>
  </dt_LegalEntityDetails>
  <dt_LegalEntityDetails>
    <PartyID>2</PartyID>
    <PartyTypeID>1</PartyTypeID>
    <DecisionID>0</DecisionID>
    <CityName>באקה אל-גרביה</CityName>
    <FullName>רנדה עלוש מג'אדלה</FullName>
    <IsPublicationProhibited>false</IsPublicationProhibited>
  </dt_LegalEntityDetails>
  <dt_CaseJudicalPersonActive>
    <CaseJudicalPerson>שופטת יפעת שקדי שץ</CaseJudicalPerson>
  </dt_CaseJudicalPersonActive>
  <dt_Sitting>
    <PreviousMeetingDate>2022-11-29T13:00:00+02:00</PreviousMeetingDate>
    <PreviousSittingTypeID>5</PreviousSittingTypeID>
    <PreviousMeetingDisplayName>שופטת יפעת שקדי שץ</PreviousMeetingDisplayName>
    <PreviousMeetingRoleName>שופט</PreviousMeetingRoleName>
    <PreviousMeetingUserTitleName>שופטת</PreviousMeetingUserTitleName>
    <PreviousMeetingUserUPN>034342147@GOV.IL</PreviousMeetingUserUPN>
  </dt_Sitting>
</DecisionTemplateDS>
</file>

<file path=customXml/itemProps1.xml><?xml version="1.0" encoding="utf-8"?>
<ds:datastoreItem xmlns:ds="http://schemas.openxmlformats.org/officeDocument/2006/customXml" ds:itemID="{E71B57CD-F0A0-47EC-BA9A-D0A46A281AB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9485</Words>
  <Characters>47426</Characters>
  <Application>Microsoft Office Word</Application>
  <DocSecurity>0</DocSecurity>
  <Lines>395</Lines>
  <Paragraphs>113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2023-12-07T06:31:00Z</dcterms:created>
  <dcterms:modified xsi:type="dcterms:W3CDTF">2023-12-07T06:31:00Z</dcterms:modified>
</cp:coreProperties>
</file>